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77777777" w:rsidR="00B246FA" w:rsidRDefault="00000000">
      <w:pPr>
        <w:spacing w:after="0" w:line="360" w:lineRule="auto"/>
        <w:rPr>
          <w:rFonts w:ascii="Verdana" w:eastAsia="Verdana" w:hAnsi="Verdana" w:cs="Verdana"/>
          <w:b/>
          <w:sz w:val="28"/>
          <w:szCs w:val="28"/>
        </w:rPr>
      </w:pPr>
      <w:r>
        <w:rPr>
          <w:rFonts w:ascii="Verdana" w:eastAsia="Verdana" w:hAnsi="Verdana" w:cs="Verdana"/>
          <w:b/>
          <w:sz w:val="28"/>
          <w:szCs w:val="28"/>
        </w:rPr>
        <w:t>Bodies and Norms at School: Reflecting upon the Effects of the Pandemic in Workshops with Children</w:t>
      </w:r>
    </w:p>
    <w:p w14:paraId="00000002" w14:textId="77777777" w:rsidR="00B246FA" w:rsidRDefault="00B246FA">
      <w:pPr>
        <w:spacing w:after="0" w:line="360" w:lineRule="auto"/>
        <w:rPr>
          <w:rFonts w:ascii="Verdana" w:eastAsia="Verdana" w:hAnsi="Verdana" w:cs="Verdana"/>
          <w:sz w:val="24"/>
          <w:szCs w:val="24"/>
        </w:rPr>
      </w:pPr>
    </w:p>
    <w:p w14:paraId="00000003" w14:textId="77777777" w:rsidR="00B246FA" w:rsidRDefault="00000000">
      <w:pPr>
        <w:spacing w:after="0" w:line="360" w:lineRule="auto"/>
        <w:rPr>
          <w:rFonts w:ascii="Verdana" w:eastAsia="Verdana" w:hAnsi="Verdana" w:cs="Verdana"/>
          <w:sz w:val="24"/>
          <w:szCs w:val="24"/>
          <w:u w:val="single"/>
        </w:rPr>
      </w:pPr>
      <w:r>
        <w:rPr>
          <w:rFonts w:ascii="Verdana" w:eastAsia="Verdana" w:hAnsi="Verdana" w:cs="Verdana"/>
          <w:sz w:val="24"/>
          <w:szCs w:val="24"/>
          <w:u w:val="single"/>
        </w:rPr>
        <w:t>Amana Rocha Mattos</w:t>
      </w:r>
    </w:p>
    <w:p w14:paraId="00000004" w14:textId="77777777" w:rsidR="00B246FA" w:rsidRDefault="00000000">
      <w:pPr>
        <w:spacing w:after="0" w:line="360" w:lineRule="auto"/>
        <w:rPr>
          <w:rFonts w:ascii="Verdana" w:eastAsia="Verdana" w:hAnsi="Verdana" w:cs="Verdana"/>
          <w:sz w:val="24"/>
          <w:szCs w:val="24"/>
        </w:rPr>
      </w:pPr>
      <w:r>
        <w:rPr>
          <w:rFonts w:ascii="Verdana" w:eastAsia="Verdana" w:hAnsi="Verdana" w:cs="Verdana"/>
          <w:sz w:val="24"/>
          <w:szCs w:val="24"/>
        </w:rPr>
        <w:t>Professor at the Instituto de Psicologia and at the Programa de Pós-graduação em Psicologia Social at Universidade do Estado do Rio de Janeiro, Brazil (amana.mattos@uerj.br)</w:t>
      </w:r>
    </w:p>
    <w:p w14:paraId="00000005" w14:textId="77777777" w:rsidR="00B246FA" w:rsidRDefault="00000000">
      <w:pPr>
        <w:spacing w:after="0" w:line="360" w:lineRule="auto"/>
        <w:rPr>
          <w:rFonts w:ascii="Verdana" w:eastAsia="Verdana" w:hAnsi="Verdana" w:cs="Verdana"/>
          <w:sz w:val="24"/>
          <w:szCs w:val="24"/>
        </w:rPr>
      </w:pPr>
      <w:r>
        <w:rPr>
          <w:rFonts w:ascii="Verdana" w:eastAsia="Verdana" w:hAnsi="Verdana" w:cs="Verdana"/>
          <w:sz w:val="24"/>
          <w:szCs w:val="24"/>
        </w:rPr>
        <w:t>Coordinator of DEGENERA - Núcleo de Pesquisa e Desconstrução de Gêneros. Senior Research Fellow in Education at the School of Environment Education and Development at The University of Manchester, UK, since 2023.</w:t>
      </w:r>
    </w:p>
    <w:p w14:paraId="00000006" w14:textId="77777777" w:rsidR="00B246FA" w:rsidRDefault="00B246FA">
      <w:pPr>
        <w:spacing w:after="0" w:line="360" w:lineRule="auto"/>
        <w:rPr>
          <w:rFonts w:ascii="Verdana" w:eastAsia="Verdana" w:hAnsi="Verdana" w:cs="Verdana"/>
          <w:sz w:val="24"/>
          <w:szCs w:val="24"/>
        </w:rPr>
      </w:pPr>
    </w:p>
    <w:p w14:paraId="00000007" w14:textId="77777777" w:rsidR="00B246FA" w:rsidRDefault="00000000">
      <w:pPr>
        <w:spacing w:after="0" w:line="360" w:lineRule="auto"/>
        <w:rPr>
          <w:rFonts w:ascii="Verdana" w:eastAsia="Verdana" w:hAnsi="Verdana" w:cs="Verdana"/>
          <w:sz w:val="24"/>
          <w:szCs w:val="24"/>
          <w:u w:val="single"/>
        </w:rPr>
      </w:pPr>
      <w:r>
        <w:rPr>
          <w:rFonts w:ascii="Verdana" w:eastAsia="Verdana" w:hAnsi="Verdana" w:cs="Verdana"/>
          <w:sz w:val="24"/>
          <w:szCs w:val="24"/>
          <w:u w:val="single"/>
        </w:rPr>
        <w:t>Rayane Ribas Martuchi</w:t>
      </w:r>
    </w:p>
    <w:p w14:paraId="00000008" w14:textId="77777777" w:rsidR="00B246FA" w:rsidRDefault="00000000">
      <w:pPr>
        <w:spacing w:after="0" w:line="360" w:lineRule="auto"/>
        <w:rPr>
          <w:rFonts w:ascii="Verdana" w:eastAsia="Verdana" w:hAnsi="Verdana" w:cs="Verdana"/>
          <w:sz w:val="24"/>
          <w:szCs w:val="24"/>
        </w:rPr>
      </w:pPr>
      <w:r>
        <w:rPr>
          <w:rFonts w:ascii="Verdana" w:eastAsia="Verdana" w:hAnsi="Verdana" w:cs="Verdana"/>
          <w:sz w:val="24"/>
          <w:szCs w:val="24"/>
        </w:rPr>
        <w:t>PhD student at the Programa de Pós-graduação em Psicologia Social at Universidade do Estado do Rio de Janeiro, Brazil (rayane.martuchi@gmail.com)</w:t>
      </w:r>
    </w:p>
    <w:p w14:paraId="00000009" w14:textId="77777777" w:rsidR="00B246FA" w:rsidRDefault="00000000">
      <w:pPr>
        <w:spacing w:after="0" w:line="360" w:lineRule="auto"/>
        <w:rPr>
          <w:rFonts w:ascii="Verdana" w:eastAsia="Verdana" w:hAnsi="Verdana" w:cs="Verdana"/>
          <w:sz w:val="24"/>
          <w:szCs w:val="24"/>
        </w:rPr>
      </w:pPr>
      <w:r>
        <w:rPr>
          <w:rFonts w:ascii="Verdana" w:eastAsia="Verdana" w:hAnsi="Verdana" w:cs="Verdana"/>
          <w:sz w:val="24"/>
          <w:szCs w:val="24"/>
        </w:rPr>
        <w:t xml:space="preserve">Psychologist with a Master 's degree in social psychology by the Programa de Pós-graduação em Psicologia Social at Universidade do Estado do Rio de Janeiro. </w:t>
      </w:r>
    </w:p>
    <w:p w14:paraId="0000000A" w14:textId="77777777" w:rsidR="00B246FA" w:rsidRDefault="00000000">
      <w:pPr>
        <w:spacing w:after="0" w:line="360" w:lineRule="auto"/>
        <w:rPr>
          <w:rFonts w:ascii="Verdana" w:eastAsia="Verdana" w:hAnsi="Verdana" w:cs="Verdana"/>
          <w:sz w:val="24"/>
          <w:szCs w:val="24"/>
        </w:rPr>
      </w:pPr>
      <w:r>
        <w:rPr>
          <w:rFonts w:ascii="Verdana" w:eastAsia="Verdana" w:hAnsi="Verdana" w:cs="Verdana"/>
          <w:sz w:val="24"/>
          <w:szCs w:val="24"/>
        </w:rPr>
        <w:t>Involved in the extension project Gender and Sexuality Workshops in Schools and the research project Processes of Subjectivation in Schools: Intersections of Gender, Sexuality and Race, both developed under DEGENERA - Núcleo de Pesquisa e Desconstrução de Gêneros.</w:t>
      </w:r>
    </w:p>
    <w:p w14:paraId="0000000B" w14:textId="77777777" w:rsidR="00B246FA" w:rsidRDefault="00B246FA">
      <w:pPr>
        <w:spacing w:after="0" w:line="360" w:lineRule="auto"/>
        <w:rPr>
          <w:rFonts w:ascii="Verdana" w:eastAsia="Verdana" w:hAnsi="Verdana" w:cs="Verdana"/>
          <w:sz w:val="24"/>
          <w:szCs w:val="24"/>
          <w:u w:val="single"/>
        </w:rPr>
      </w:pPr>
    </w:p>
    <w:p w14:paraId="0000000C" w14:textId="77777777" w:rsidR="00B246FA" w:rsidRDefault="00000000">
      <w:pPr>
        <w:spacing w:after="0" w:line="360" w:lineRule="auto"/>
        <w:rPr>
          <w:rFonts w:ascii="Verdana" w:eastAsia="Verdana" w:hAnsi="Verdana" w:cs="Verdana"/>
          <w:sz w:val="24"/>
          <w:szCs w:val="24"/>
          <w:u w:val="single"/>
        </w:rPr>
      </w:pPr>
      <w:r>
        <w:rPr>
          <w:rFonts w:ascii="Verdana" w:eastAsia="Verdana" w:hAnsi="Verdana" w:cs="Verdana"/>
          <w:sz w:val="24"/>
          <w:szCs w:val="24"/>
          <w:u w:val="single"/>
        </w:rPr>
        <w:t>Andy da Rocha Luz</w:t>
      </w:r>
    </w:p>
    <w:p w14:paraId="0000000D" w14:textId="77777777" w:rsidR="00B246FA" w:rsidRDefault="00000000">
      <w:pPr>
        <w:spacing w:after="0" w:line="360" w:lineRule="auto"/>
        <w:rPr>
          <w:rFonts w:ascii="Verdana" w:eastAsia="Verdana" w:hAnsi="Verdana" w:cs="Verdana"/>
          <w:sz w:val="24"/>
          <w:szCs w:val="24"/>
        </w:rPr>
      </w:pPr>
      <w:r>
        <w:rPr>
          <w:rFonts w:ascii="Verdana" w:eastAsia="Verdana" w:hAnsi="Verdana" w:cs="Verdana"/>
          <w:sz w:val="24"/>
          <w:szCs w:val="24"/>
        </w:rPr>
        <w:t>Master’s student at the Programa de Pós-graduação em Psicologia Social at Universidade do Estado do Rio de Janeiro, Brazil (an.rochaluz@gmail.com)</w:t>
      </w:r>
    </w:p>
    <w:p w14:paraId="0000000E" w14:textId="77777777" w:rsidR="00B246FA" w:rsidRDefault="00000000">
      <w:pPr>
        <w:spacing w:after="0" w:line="360" w:lineRule="auto"/>
        <w:rPr>
          <w:rFonts w:ascii="Verdana" w:eastAsia="Verdana" w:hAnsi="Verdana" w:cs="Verdana"/>
          <w:sz w:val="24"/>
          <w:szCs w:val="24"/>
        </w:rPr>
      </w:pPr>
      <w:r>
        <w:rPr>
          <w:rFonts w:ascii="Verdana" w:eastAsia="Verdana" w:hAnsi="Verdana" w:cs="Verdana"/>
          <w:sz w:val="24"/>
          <w:szCs w:val="24"/>
        </w:rPr>
        <w:t>Psychologist, Member of DEGENERA - Núcleo de Pesquisa e Desconstrução de Gêneros and volunteer researcher at the</w:t>
      </w:r>
      <w:r>
        <w:t xml:space="preserve"> </w:t>
      </w:r>
      <w:r>
        <w:rPr>
          <w:rFonts w:ascii="Verdana" w:eastAsia="Verdana" w:hAnsi="Verdana" w:cs="Verdana"/>
          <w:sz w:val="24"/>
          <w:szCs w:val="24"/>
        </w:rPr>
        <w:t xml:space="preserve">Programa de </w:t>
      </w:r>
      <w:r>
        <w:rPr>
          <w:rFonts w:ascii="Verdana" w:eastAsia="Verdana" w:hAnsi="Verdana" w:cs="Verdana"/>
          <w:sz w:val="24"/>
          <w:szCs w:val="24"/>
        </w:rPr>
        <w:lastRenderedPageBreak/>
        <w:t>Políticas Públicas, Modelos de Atenção e Gestão do Sistema e Serviços de Saúde</w:t>
      </w:r>
      <w:r>
        <w:rPr>
          <w:rFonts w:ascii="Trebuchet MS" w:eastAsia="Trebuchet MS" w:hAnsi="Trebuchet MS" w:cs="Trebuchet MS"/>
          <w:color w:val="666666"/>
          <w:sz w:val="24"/>
          <w:szCs w:val="24"/>
          <w:highlight w:val="white"/>
        </w:rPr>
        <w:t xml:space="preserve"> </w:t>
      </w:r>
      <w:r>
        <w:rPr>
          <w:rFonts w:ascii="Verdana" w:eastAsia="Verdana" w:hAnsi="Verdana" w:cs="Verdana"/>
          <w:sz w:val="24"/>
          <w:szCs w:val="24"/>
        </w:rPr>
        <w:t>at Fiocruz, Brazil.</w:t>
      </w:r>
    </w:p>
    <w:p w14:paraId="0000000F" w14:textId="77777777" w:rsidR="00B246FA" w:rsidRDefault="00B246FA">
      <w:pPr>
        <w:spacing w:after="0" w:line="360" w:lineRule="auto"/>
        <w:rPr>
          <w:rFonts w:ascii="Verdana" w:eastAsia="Verdana" w:hAnsi="Verdana" w:cs="Verdana"/>
          <w:sz w:val="24"/>
          <w:szCs w:val="24"/>
        </w:rPr>
      </w:pPr>
    </w:p>
    <w:p w14:paraId="00000010" w14:textId="77777777" w:rsidR="00B246FA" w:rsidRDefault="00000000">
      <w:pPr>
        <w:spacing w:after="0" w:line="360" w:lineRule="auto"/>
        <w:rPr>
          <w:rFonts w:ascii="Verdana" w:eastAsia="Verdana" w:hAnsi="Verdana" w:cs="Verdana"/>
          <w:sz w:val="24"/>
          <w:szCs w:val="24"/>
        </w:rPr>
      </w:pPr>
      <w:r>
        <w:rPr>
          <w:rFonts w:ascii="Verdana" w:eastAsia="Verdana" w:hAnsi="Verdana" w:cs="Verdana"/>
          <w:b/>
          <w:sz w:val="24"/>
          <w:szCs w:val="24"/>
        </w:rPr>
        <w:t>Abstract</w:t>
      </w:r>
    </w:p>
    <w:p w14:paraId="00000011" w14:textId="77777777" w:rsidR="00B246FA" w:rsidRDefault="00000000">
      <w:pPr>
        <w:spacing w:after="0" w:line="360" w:lineRule="auto"/>
        <w:rPr>
          <w:rFonts w:ascii="Verdana" w:eastAsia="Verdana" w:hAnsi="Verdana" w:cs="Verdana"/>
          <w:sz w:val="24"/>
          <w:szCs w:val="24"/>
        </w:rPr>
      </w:pPr>
      <w:r>
        <w:rPr>
          <w:rFonts w:ascii="Verdana" w:eastAsia="Verdana" w:hAnsi="Verdana" w:cs="Verdana"/>
          <w:sz w:val="24"/>
          <w:szCs w:val="24"/>
        </w:rPr>
        <w:t>This paper analyses some of the results of workshops conducted with children in two public schools in Rio de Janeiro, Brazil, during their return to in-person learning after the COVID-19 pandemic. The meetings aimed to work on the relationships between the children and their bond with the school after remote teaching. The reentry of the body into the school space, the encounters with otherness, and conflicts were present throughout the fieldwork. The participants brought up discussions on the meanings of school, and research methods and strategies designed in dialogue with childhood in the present time were demanded.</w:t>
      </w:r>
    </w:p>
    <w:p w14:paraId="00000012" w14:textId="77777777" w:rsidR="00B246FA" w:rsidRDefault="00B246FA">
      <w:pPr>
        <w:spacing w:after="0" w:line="360" w:lineRule="auto"/>
        <w:rPr>
          <w:rFonts w:ascii="Verdana" w:eastAsia="Verdana" w:hAnsi="Verdana" w:cs="Verdana"/>
          <w:sz w:val="24"/>
          <w:szCs w:val="24"/>
        </w:rPr>
      </w:pPr>
    </w:p>
    <w:p w14:paraId="00000013" w14:textId="77777777" w:rsidR="00B246FA" w:rsidRDefault="00000000">
      <w:pPr>
        <w:spacing w:after="0" w:line="360" w:lineRule="auto"/>
        <w:rPr>
          <w:rFonts w:ascii="Verdana" w:eastAsia="Verdana" w:hAnsi="Verdana" w:cs="Verdana"/>
          <w:sz w:val="24"/>
          <w:szCs w:val="24"/>
        </w:rPr>
      </w:pPr>
      <w:r>
        <w:rPr>
          <w:rFonts w:ascii="Verdana" w:eastAsia="Verdana" w:hAnsi="Verdana" w:cs="Verdana"/>
          <w:b/>
          <w:sz w:val="24"/>
          <w:szCs w:val="24"/>
        </w:rPr>
        <w:t xml:space="preserve">Keywords: </w:t>
      </w:r>
      <w:r>
        <w:rPr>
          <w:rFonts w:ascii="Verdana" w:eastAsia="Verdana" w:hAnsi="Verdana" w:cs="Verdana"/>
          <w:sz w:val="24"/>
          <w:szCs w:val="24"/>
        </w:rPr>
        <w:t>Childhood, Participative Methodologies, School, Pandemic.</w:t>
      </w:r>
    </w:p>
    <w:p w14:paraId="00000014" w14:textId="77777777" w:rsidR="00B246FA" w:rsidRDefault="00B246FA">
      <w:pPr>
        <w:spacing w:after="0" w:line="360" w:lineRule="auto"/>
        <w:rPr>
          <w:rFonts w:ascii="Verdana" w:eastAsia="Verdana" w:hAnsi="Verdana" w:cs="Verdana"/>
          <w:sz w:val="24"/>
          <w:szCs w:val="24"/>
        </w:rPr>
      </w:pPr>
    </w:p>
    <w:p w14:paraId="00000015" w14:textId="77777777" w:rsidR="00B246FA" w:rsidRDefault="00000000">
      <w:pPr>
        <w:spacing w:after="0" w:line="360" w:lineRule="auto"/>
        <w:rPr>
          <w:rFonts w:ascii="Verdana" w:eastAsia="Verdana" w:hAnsi="Verdana" w:cs="Verdana"/>
          <w:sz w:val="24"/>
          <w:szCs w:val="24"/>
        </w:rPr>
      </w:pPr>
      <w:r>
        <w:rPr>
          <w:rFonts w:ascii="Verdana" w:eastAsia="Verdana" w:hAnsi="Verdana" w:cs="Verdana"/>
          <w:b/>
          <w:sz w:val="24"/>
          <w:szCs w:val="24"/>
        </w:rPr>
        <w:t xml:space="preserve">Acknowledgments: </w:t>
      </w:r>
      <w:r>
        <w:rPr>
          <w:rFonts w:ascii="Verdana" w:eastAsia="Verdana" w:hAnsi="Verdana" w:cs="Verdana"/>
          <w:sz w:val="24"/>
          <w:szCs w:val="24"/>
        </w:rPr>
        <w:t>This research was carried out with funds from Prociencia UERJ/Faperj 2023; Programa Jovem Cientista do Nosso Estado E-26/201.425/2022 - BOLSA; CNPq (Master's scholarship); CAPES (Doctoral scholarship). The authors would like to thank the research team for their partnership in producing the reports and discussing the workshops in supervision. The authors would like to thank the research team for their partnership in producing the reports and discussing the workshops in supervision; and the students and school psychologists from the partner school for their participation in the project and for the collective construction of the fieldwork.</w:t>
      </w:r>
    </w:p>
    <w:p w14:paraId="00000016" w14:textId="77777777" w:rsidR="00B246FA" w:rsidRDefault="00B246FA">
      <w:pPr>
        <w:spacing w:after="0" w:line="360" w:lineRule="auto"/>
        <w:rPr>
          <w:rFonts w:ascii="Verdana" w:eastAsia="Verdana" w:hAnsi="Verdana" w:cs="Verdana"/>
          <w:sz w:val="24"/>
          <w:szCs w:val="24"/>
        </w:rPr>
      </w:pPr>
    </w:p>
    <w:p w14:paraId="00000017" w14:textId="77777777" w:rsidR="00B246FA" w:rsidRDefault="00000000">
      <w:pPr>
        <w:spacing w:after="0" w:line="360" w:lineRule="auto"/>
        <w:rPr>
          <w:rFonts w:ascii="Verdana" w:eastAsia="Verdana" w:hAnsi="Verdana" w:cs="Verdana"/>
          <w:sz w:val="24"/>
          <w:szCs w:val="24"/>
        </w:rPr>
      </w:pPr>
      <w:r>
        <w:rPr>
          <w:rFonts w:ascii="Verdana" w:eastAsia="Verdana" w:hAnsi="Verdana" w:cs="Verdana"/>
          <w:b/>
          <w:sz w:val="24"/>
          <w:szCs w:val="24"/>
        </w:rPr>
        <w:t>Conflict of interest</w:t>
      </w:r>
      <w:r>
        <w:rPr>
          <w:rFonts w:ascii="Verdana" w:eastAsia="Verdana" w:hAnsi="Verdana" w:cs="Verdana"/>
          <w:sz w:val="24"/>
          <w:szCs w:val="24"/>
        </w:rPr>
        <w:t>: The authors have no conflicts of interest to declare that are relevant to the content of this article.</w:t>
      </w:r>
    </w:p>
    <w:p w14:paraId="00000018" w14:textId="77777777" w:rsidR="00B246FA" w:rsidRDefault="00B246FA">
      <w:pPr>
        <w:spacing w:after="0" w:line="360" w:lineRule="auto"/>
        <w:rPr>
          <w:rFonts w:ascii="Verdana" w:eastAsia="Verdana" w:hAnsi="Verdana" w:cs="Verdana"/>
          <w:sz w:val="24"/>
          <w:szCs w:val="24"/>
        </w:rPr>
      </w:pPr>
    </w:p>
    <w:p w14:paraId="00000019" w14:textId="77777777" w:rsidR="00B246FA" w:rsidRDefault="00000000">
      <w:pPr>
        <w:rPr>
          <w:rFonts w:ascii="Verdana" w:eastAsia="Verdana" w:hAnsi="Verdana" w:cs="Verdana"/>
          <w:sz w:val="24"/>
          <w:szCs w:val="24"/>
        </w:rPr>
      </w:pPr>
      <w:r>
        <w:br w:type="page"/>
      </w:r>
    </w:p>
    <w:p w14:paraId="0000001A" w14:textId="77777777" w:rsidR="00B246FA" w:rsidRDefault="00000000">
      <w:pPr>
        <w:spacing w:after="0" w:line="360" w:lineRule="auto"/>
        <w:rPr>
          <w:rFonts w:ascii="Verdana" w:eastAsia="Verdana" w:hAnsi="Verdana" w:cs="Verdana"/>
          <w:sz w:val="24"/>
          <w:szCs w:val="24"/>
        </w:rPr>
      </w:pPr>
      <w:r>
        <w:rPr>
          <w:rFonts w:ascii="Verdana" w:eastAsia="Verdana" w:hAnsi="Verdana" w:cs="Verdana"/>
          <w:sz w:val="24"/>
          <w:szCs w:val="24"/>
        </w:rPr>
        <w:lastRenderedPageBreak/>
        <w:tab/>
        <w:t>Returning to school in the (post-)pandemic context has presented many challenges and sparked fresh issues for educators, students, and families alike. The prolonged closure of public schools, the shift to online instruction, profound personal losses, enforced physical distancing, and the exacerbation of social inequalities have all engendered enduring consequences that continue to confront us. These ramifications are palpable in the ongoing development of a research-intervention</w:t>
      </w:r>
      <w:r>
        <w:rPr>
          <w:rFonts w:ascii="Verdana" w:eastAsia="Verdana" w:hAnsi="Verdana" w:cs="Verdana"/>
          <w:sz w:val="24"/>
          <w:szCs w:val="24"/>
          <w:vertAlign w:val="superscript"/>
        </w:rPr>
        <w:footnoteReference w:id="1"/>
      </w:r>
      <w:r>
        <w:rPr>
          <w:rFonts w:ascii="Verdana" w:eastAsia="Verdana" w:hAnsi="Verdana" w:cs="Verdana"/>
          <w:sz w:val="24"/>
          <w:szCs w:val="24"/>
        </w:rPr>
        <w:t xml:space="preserve"> (Castro &amp; Besset, 2008) conducted with around 230 students aged between 7 and 10, drawn from two public schools</w:t>
      </w:r>
      <w:r>
        <w:rPr>
          <w:rFonts w:ascii="Verdana" w:eastAsia="Verdana" w:hAnsi="Verdana" w:cs="Verdana"/>
          <w:sz w:val="24"/>
          <w:szCs w:val="24"/>
          <w:vertAlign w:val="superscript"/>
        </w:rPr>
        <w:footnoteReference w:id="2"/>
      </w:r>
      <w:r>
        <w:rPr>
          <w:rFonts w:ascii="Verdana" w:eastAsia="Verdana" w:hAnsi="Verdana" w:cs="Verdana"/>
          <w:sz w:val="24"/>
          <w:szCs w:val="24"/>
        </w:rPr>
        <w:t xml:space="preserve"> in Rio de Janeiro, Brazil. The overarching aim of this study was to explore, through an intersectional perspective, how gender, sexuality, and race interplay in shaping children's subjectivity within educational settings, thereby marking and shaping their trajectories and relationships. </w:t>
      </w:r>
    </w:p>
    <w:p w14:paraId="0000001B" w14:textId="77777777" w:rsidR="00B246FA" w:rsidRDefault="00000000">
      <w:pPr>
        <w:spacing w:after="0" w:line="360" w:lineRule="auto"/>
        <w:rPr>
          <w:rFonts w:ascii="Verdana" w:eastAsia="Verdana" w:hAnsi="Verdana" w:cs="Verdana"/>
          <w:sz w:val="24"/>
          <w:szCs w:val="24"/>
        </w:rPr>
      </w:pPr>
      <w:r>
        <w:rPr>
          <w:rFonts w:ascii="Verdana" w:eastAsia="Verdana" w:hAnsi="Verdana" w:cs="Verdana"/>
          <w:sz w:val="24"/>
          <w:szCs w:val="24"/>
        </w:rPr>
        <w:tab/>
        <w:t xml:space="preserve">In this paper, we analyse select findings to explore the integration and experiences of children's bodies and subjectivities within Brazilian schools following a prolonged period of closures. We examine how school norms and interactions with peers, including their bodies, influenced the process of subjectivation among children involved in our project. Developed through classroom workshops, our fieldwork spanned throughout 2022 and 2023, encompassing two partner schools—referred to herein as schools A and B. These workshops, facilitated by undergraduate psychology interns and graduate students, comprised five weekly sessions featuring drawing activities, games, and group activities with participating children. The overarching goal was to engage the participants in discussions on themes such as power dynamics, consent, and violence, all prevalent in their daily school experiences. Our analysis </w:t>
      </w:r>
      <w:r>
        <w:rPr>
          <w:rFonts w:ascii="Verdana" w:eastAsia="Verdana" w:hAnsi="Verdana" w:cs="Verdana"/>
          <w:sz w:val="24"/>
          <w:szCs w:val="24"/>
        </w:rPr>
        <w:lastRenderedPageBreak/>
        <w:t>of the results draws on insights from childhood studies, post-structuralist theories, intersectional feminisms, and especially with the Child as Method reference by Erica Burman (2019, 2022).</w:t>
      </w:r>
    </w:p>
    <w:p w14:paraId="0000001C" w14:textId="77777777" w:rsidR="00B246FA" w:rsidRDefault="00000000">
      <w:pPr>
        <w:spacing w:after="0" w:line="360" w:lineRule="auto"/>
        <w:ind w:firstLine="720"/>
        <w:rPr>
          <w:rFonts w:ascii="Verdana" w:eastAsia="Verdana" w:hAnsi="Verdana" w:cs="Verdana"/>
          <w:sz w:val="24"/>
          <w:szCs w:val="24"/>
        </w:rPr>
      </w:pPr>
      <w:r>
        <w:rPr>
          <w:rFonts w:ascii="Verdana" w:eastAsia="Verdana" w:hAnsi="Verdana" w:cs="Verdana"/>
          <w:sz w:val="24"/>
          <w:szCs w:val="24"/>
        </w:rPr>
        <w:t xml:space="preserve">The results indicate that the heightened individualised and privatised experience endured by children who underwent social isolation at home with their families, as was the case with children participating in the project, appears to have contributed to the overwhelming sense of discomfort when confronted with collective settings and the presence of others at school, aspects that the schools already perceived after the face-to-face return. The participating schools communicated these perceptions to the research team by comparing children's behaviour before and after the pandemic. As we will discuss, the period of remote schooling, mediated by screens, devoid of face-to-face interaction with peers and the constraints inherent in school life, impacted children's relationship with the school, their peers, and school staff, making their return to the school environment both tumultuous and intense. </w:t>
      </w:r>
    </w:p>
    <w:p w14:paraId="0000001D" w14:textId="77777777" w:rsidR="00B246FA" w:rsidRDefault="00B246FA">
      <w:pPr>
        <w:spacing w:after="0" w:line="360" w:lineRule="auto"/>
        <w:ind w:firstLine="720"/>
        <w:rPr>
          <w:rFonts w:ascii="Verdana" w:eastAsia="Verdana" w:hAnsi="Verdana" w:cs="Verdana"/>
          <w:sz w:val="24"/>
          <w:szCs w:val="24"/>
        </w:rPr>
      </w:pPr>
    </w:p>
    <w:p w14:paraId="0000001E" w14:textId="77777777" w:rsidR="00B246FA" w:rsidRDefault="00000000">
      <w:pPr>
        <w:spacing w:after="0" w:line="360" w:lineRule="auto"/>
        <w:ind w:firstLine="720"/>
        <w:rPr>
          <w:rFonts w:ascii="Verdana" w:eastAsia="Verdana" w:hAnsi="Verdana" w:cs="Verdana"/>
          <w:b/>
          <w:sz w:val="24"/>
          <w:szCs w:val="24"/>
        </w:rPr>
      </w:pPr>
      <w:r>
        <w:rPr>
          <w:rFonts w:ascii="Verdana" w:eastAsia="Verdana" w:hAnsi="Verdana" w:cs="Verdana"/>
          <w:b/>
          <w:sz w:val="24"/>
          <w:szCs w:val="24"/>
        </w:rPr>
        <w:t>Researching with children: theoretical and methodological references</w:t>
      </w:r>
    </w:p>
    <w:p w14:paraId="0000001F" w14:textId="77777777" w:rsidR="00B246FA" w:rsidRDefault="00B246FA">
      <w:pPr>
        <w:spacing w:after="0" w:line="360" w:lineRule="auto"/>
        <w:ind w:firstLine="720"/>
        <w:rPr>
          <w:rFonts w:ascii="Verdana" w:eastAsia="Verdana" w:hAnsi="Verdana" w:cs="Verdana"/>
          <w:sz w:val="24"/>
          <w:szCs w:val="24"/>
        </w:rPr>
      </w:pPr>
    </w:p>
    <w:p w14:paraId="00000020" w14:textId="77777777" w:rsidR="00B246FA" w:rsidRDefault="00000000">
      <w:pPr>
        <w:spacing w:after="0" w:line="360" w:lineRule="auto"/>
        <w:ind w:firstLine="720"/>
        <w:rPr>
          <w:rFonts w:ascii="Verdana" w:eastAsia="Verdana" w:hAnsi="Verdana" w:cs="Verdana"/>
          <w:sz w:val="24"/>
          <w:szCs w:val="24"/>
        </w:rPr>
      </w:pPr>
      <w:r>
        <w:rPr>
          <w:rFonts w:ascii="Verdana" w:eastAsia="Verdana" w:hAnsi="Verdana" w:cs="Verdana"/>
          <w:sz w:val="24"/>
          <w:szCs w:val="24"/>
        </w:rPr>
        <w:t>In contemporary Brazilian society, with all the structural changes it has undergone in recent decades (concerning its age pyramid, demographic concentration in urban areas, and the reduction of absolute poverty among the population), the school remains the privileged locus of subjectivation for children and young people (Castro, 2012). For the majority of these individuals, from different socio-economic backgrounds in the country, attending school is one of the central activities in their lives, making it a space where they spend a large part of their time and where they come into contact with ideas, values and practices that play a part in their subjectivation processes.</w:t>
      </w:r>
    </w:p>
    <w:p w14:paraId="00000021" w14:textId="77777777" w:rsidR="00B246FA" w:rsidRDefault="00000000">
      <w:pPr>
        <w:spacing w:after="0" w:line="360" w:lineRule="auto"/>
        <w:ind w:firstLine="720"/>
        <w:rPr>
          <w:rFonts w:ascii="Verdana" w:eastAsia="Verdana" w:hAnsi="Verdana" w:cs="Verdana"/>
          <w:sz w:val="24"/>
          <w:szCs w:val="24"/>
        </w:rPr>
      </w:pPr>
      <w:r>
        <w:rPr>
          <w:rFonts w:ascii="Verdana" w:eastAsia="Verdana" w:hAnsi="Verdana" w:cs="Verdana"/>
          <w:sz w:val="24"/>
          <w:szCs w:val="24"/>
        </w:rPr>
        <w:t xml:space="preserve">This group of children and young individuals attends school daily with the primary aim of studying and enriching their knowledge. However, </w:t>
      </w:r>
      <w:r>
        <w:rPr>
          <w:rFonts w:ascii="Verdana" w:eastAsia="Verdana" w:hAnsi="Verdana" w:cs="Verdana"/>
          <w:sz w:val="24"/>
          <w:szCs w:val="24"/>
        </w:rPr>
        <w:lastRenderedPageBreak/>
        <w:t xml:space="preserve">as research on children and adolescents has elucidated, the school environment encompasses more than formal academic learning. Beyond academic pursuits, students engage in activities such as forming friendships, exchanging ideas, broadening their social networks, and navigating affective and sexual experiences. Despite the significance of these experiences in shaping their overall development, schools often fail to acknowledge their importance within the context of academic trajectories by ignoring issues of gender and sexuality, race and other subjective and social aspects which are present in the school environment. They permeate schools even if they choose not to address these issues or to stick to the institutional role of formal and technical education, distancing themselves from social and political debates in the citizenship education of young people and children (Castro, 2012; Felipe, 2000; Ranniery, 2017; Salgado &amp; Souza, 2018). </w:t>
      </w:r>
    </w:p>
    <w:p w14:paraId="00000022" w14:textId="77777777" w:rsidR="00B246FA" w:rsidRDefault="00000000">
      <w:pPr>
        <w:spacing w:after="0" w:line="360" w:lineRule="auto"/>
        <w:ind w:firstLine="720"/>
        <w:rPr>
          <w:rFonts w:ascii="Verdana" w:eastAsia="Verdana" w:hAnsi="Verdana" w:cs="Verdana"/>
          <w:sz w:val="24"/>
          <w:szCs w:val="24"/>
        </w:rPr>
      </w:pPr>
      <w:r>
        <w:rPr>
          <w:rFonts w:ascii="Verdana" w:eastAsia="Verdana" w:hAnsi="Verdana" w:cs="Verdana"/>
          <w:sz w:val="24"/>
          <w:szCs w:val="24"/>
        </w:rPr>
        <w:t xml:space="preserve">In Western modernity, schools represented the colonial project and gained prominence in societies, functioning as a normative and disciplining agency for bodies and desires. However, seeing schools only through the eyes of the colonial agenda, which sees them as an apparatus of repression, removes from them the transformative and inventive power that is also part of schools. Thus, due to their complexity and contradictions, schools are a field of tension and dispute, bringing the intersection of families, childhoods and political agendas in different contexts (Ranniery, 2017). </w:t>
      </w:r>
    </w:p>
    <w:p w14:paraId="00000023" w14:textId="77777777" w:rsidR="00B246FA" w:rsidRDefault="00000000">
      <w:pPr>
        <w:spacing w:after="0" w:line="360" w:lineRule="auto"/>
        <w:ind w:firstLine="720"/>
        <w:rPr>
          <w:rFonts w:ascii="Verdana" w:eastAsia="Verdana" w:hAnsi="Verdana" w:cs="Verdana"/>
          <w:sz w:val="24"/>
          <w:szCs w:val="24"/>
        </w:rPr>
      </w:pPr>
      <w:r>
        <w:rPr>
          <w:rFonts w:ascii="Verdana" w:eastAsia="Verdana" w:hAnsi="Verdana" w:cs="Verdana"/>
          <w:sz w:val="24"/>
          <w:szCs w:val="24"/>
        </w:rPr>
        <w:t xml:space="preserve">The onset of the COVID-19 pandemic in December 2019 triggered a global crisis that exacerbated socioeconomic disparities in Brazil. Research conducted by Dorna (2021) on gender inequalities in the workforce during the pandemic revealed a significant increase in workload for women. Alongside their professional responsibilities, women found themselves shouldering additional burdens of domestic and caregiving duties that were previously managed by institutions such as schools. The implementation of social isolation measures by the National Health Council (CNS) in May 2020 further deepened socioeconomic disparities, </w:t>
      </w:r>
      <w:r>
        <w:rPr>
          <w:rFonts w:ascii="Verdana" w:eastAsia="Verdana" w:hAnsi="Verdana" w:cs="Verdana"/>
          <w:sz w:val="24"/>
          <w:szCs w:val="24"/>
        </w:rPr>
        <w:lastRenderedPageBreak/>
        <w:t xml:space="preserve">extending beyond the traditional gendered division of labour. Education bore a significant brunt of the impact. According to a survey conducted by Data Favela/Instituto Locomotiva (Peres, 2020), the pandemic affected 97% of the 13.6 million residents of favelas in Brazil within its first year. The survey revealed that only 19% of respondents had formal employment contracts. Household expenses increased for 84% of families whose children had to discontinue attending school due to the pandemic. Additionally, 75% of these families struggled with balancing work and caregiving responsibilities due to the presence of children at home, which hindered their ability to generate income. </w:t>
      </w:r>
    </w:p>
    <w:p w14:paraId="00000024" w14:textId="77777777" w:rsidR="00B246FA" w:rsidRDefault="00000000">
      <w:pPr>
        <w:spacing w:after="0" w:line="360" w:lineRule="auto"/>
        <w:ind w:firstLine="720"/>
        <w:rPr>
          <w:rFonts w:ascii="Verdana" w:eastAsia="Verdana" w:hAnsi="Verdana" w:cs="Verdana"/>
          <w:sz w:val="24"/>
          <w:szCs w:val="24"/>
        </w:rPr>
      </w:pPr>
      <w:r>
        <w:rPr>
          <w:rFonts w:ascii="Verdana" w:eastAsia="Verdana" w:hAnsi="Verdana" w:cs="Verdana"/>
          <w:sz w:val="24"/>
          <w:szCs w:val="24"/>
        </w:rPr>
        <w:t>In the educational realm, the impact of the pandemic was profound. In its initial year, 99.3% of Brazilian schools suspended on-site classes. While 53% of public schools</w:t>
      </w:r>
      <w:r>
        <w:rPr>
          <w:rFonts w:ascii="Verdana" w:eastAsia="Verdana" w:hAnsi="Verdana" w:cs="Verdana"/>
          <w:sz w:val="24"/>
          <w:szCs w:val="24"/>
          <w:vertAlign w:val="superscript"/>
        </w:rPr>
        <w:footnoteReference w:id="3"/>
      </w:r>
      <w:r>
        <w:rPr>
          <w:rFonts w:ascii="Verdana" w:eastAsia="Verdana" w:hAnsi="Verdana" w:cs="Verdana"/>
          <w:sz w:val="24"/>
          <w:szCs w:val="24"/>
        </w:rPr>
        <w:t xml:space="preserve"> managed to adhere to their 2020 academic schedule, approximately 70% of private schools successfully maintained their planned curriculum. Around 21.9% of private schools adopted a hybrid education model, combining face-to-face and remote learning activities (Agência Brasil, 2024), a strategy also endorsed by the National Council of Education (CNE). However, only 4% of public schools implemented this approach, highlighting a significant disparity between the public and private sectors. In 2021, the National Assessment of Basic Education (SAEB) was conducted to evaluate the quality of education in Brazil. The results revealed a decline across all education stages, with the most pronounced deterioration observed in literacy levels.</w:t>
      </w:r>
    </w:p>
    <w:p w14:paraId="00000025" w14:textId="77777777" w:rsidR="00B246FA" w:rsidRDefault="00000000">
      <w:pPr>
        <w:spacing w:after="0" w:line="360" w:lineRule="auto"/>
        <w:ind w:firstLine="720"/>
        <w:rPr>
          <w:rFonts w:ascii="Verdana" w:eastAsia="Verdana" w:hAnsi="Verdana" w:cs="Verdana"/>
          <w:sz w:val="24"/>
          <w:szCs w:val="24"/>
        </w:rPr>
      </w:pPr>
      <w:r>
        <w:rPr>
          <w:rFonts w:ascii="Verdana" w:eastAsia="Verdana" w:hAnsi="Verdana" w:cs="Verdana"/>
          <w:sz w:val="24"/>
          <w:szCs w:val="24"/>
        </w:rPr>
        <w:t xml:space="preserve">This racial and class inequality scenario among Brazilian schools can be related to Collins and Bilge's (2016) image of a sloping football pitch, </w:t>
      </w:r>
      <w:r>
        <w:rPr>
          <w:rFonts w:ascii="Verdana" w:eastAsia="Verdana" w:hAnsi="Verdana" w:cs="Verdana"/>
          <w:sz w:val="24"/>
          <w:szCs w:val="24"/>
        </w:rPr>
        <w:lastRenderedPageBreak/>
        <w:t>where the two teams playing are on opposite sides of the pitch, one at the top and the other at the bottom. The team playing from the top will be successful, as they need little footballing skill to score, after all, gravity alone sends the ball rolling into the opponent's half. The team that has to overcome the pitch's slope already starts at a disadvantage and will have a more challenging time winning the match, even if they are talented and disciplined. We can relate the assessment results mentioned above (SAEB) to the authors' example of the inclined plane: this is a discrepant but expected result when schools don't start from the same point.</w:t>
      </w:r>
    </w:p>
    <w:p w14:paraId="00000026" w14:textId="77777777" w:rsidR="00B246FA" w:rsidRDefault="00000000">
      <w:pPr>
        <w:spacing w:after="0" w:line="360" w:lineRule="auto"/>
        <w:ind w:firstLine="720"/>
        <w:rPr>
          <w:rFonts w:ascii="Verdana" w:eastAsia="Verdana" w:hAnsi="Verdana" w:cs="Verdana"/>
          <w:sz w:val="24"/>
          <w:szCs w:val="24"/>
        </w:rPr>
      </w:pPr>
      <w:r>
        <w:rPr>
          <w:rFonts w:ascii="Verdana" w:eastAsia="Verdana" w:hAnsi="Verdana" w:cs="Verdana"/>
          <w:sz w:val="24"/>
          <w:szCs w:val="24"/>
        </w:rPr>
        <w:t xml:space="preserve">In the context of escalating social disparities and the erosion of students' connections with their educational institutions, we initiated a project in collaboration with two schools. Our research-intervention initiative drew upon theoretical and methodological frameworks rooted in intersectional feminisms (Collins &amp; Bilge, 2016; hooks, 1993, 1994, 2010). This approach enabled us to explore power dynamics within school environments in tandem with intersecting axes of oppression prevalent in Brazilian society and institutions. </w:t>
      </w:r>
    </w:p>
    <w:p w14:paraId="00000027" w14:textId="77777777" w:rsidR="00B246FA" w:rsidRDefault="00000000">
      <w:pPr>
        <w:spacing w:after="0" w:line="360" w:lineRule="auto"/>
        <w:ind w:firstLine="720"/>
        <w:rPr>
          <w:rFonts w:ascii="Verdana" w:eastAsia="Verdana" w:hAnsi="Verdana" w:cs="Verdana"/>
          <w:sz w:val="24"/>
          <w:szCs w:val="24"/>
        </w:rPr>
      </w:pPr>
      <w:r>
        <w:rPr>
          <w:rFonts w:ascii="Verdana" w:eastAsia="Verdana" w:hAnsi="Verdana" w:cs="Verdana"/>
          <w:sz w:val="24"/>
          <w:szCs w:val="24"/>
        </w:rPr>
        <w:t xml:space="preserve">Another theoretical-methodological assumption underpinning the project, in dialogue with childhood studies, was to think about childhood from the critical perspective of children from developmental psychology, considering its processes of subjectivation to tension the adult-centric structures that organise school logic. Burman (2008) points out that childhood, the central character of development, is taken in psychology and educational theories symbolically as unique and universal, in other words, alienated from a given moment in history, removed from its socio-political context of real children. The invention of childhood tells of a fictional child, a performative of an ‘ideal-typical child’, and if there is the prototypical, the embodied progress, there are also those who don't fit in who are penalised for their excesses or faults in the face of the ideal of normality. </w:t>
      </w:r>
    </w:p>
    <w:p w14:paraId="00000028" w14:textId="77777777" w:rsidR="00B246FA" w:rsidRDefault="00000000">
      <w:pPr>
        <w:spacing w:after="0" w:line="360" w:lineRule="auto"/>
        <w:ind w:firstLine="720"/>
        <w:rPr>
          <w:rFonts w:ascii="Verdana" w:eastAsia="Verdana" w:hAnsi="Verdana" w:cs="Verdana"/>
          <w:sz w:val="24"/>
          <w:szCs w:val="24"/>
        </w:rPr>
      </w:pPr>
      <w:r>
        <w:rPr>
          <w:rFonts w:ascii="Verdana" w:eastAsia="Verdana" w:hAnsi="Verdana" w:cs="Verdana"/>
          <w:sz w:val="24"/>
          <w:szCs w:val="24"/>
        </w:rPr>
        <w:t xml:space="preserve">The concept of subjectivation processes, as elucidated by Castro and Mattos (2009), transcends the mere acquisition of social and </w:t>
      </w:r>
      <w:r>
        <w:rPr>
          <w:rFonts w:ascii="Verdana" w:eastAsia="Verdana" w:hAnsi="Verdana" w:cs="Verdana"/>
          <w:sz w:val="24"/>
          <w:szCs w:val="24"/>
        </w:rPr>
        <w:lastRenderedPageBreak/>
        <w:t xml:space="preserve">cognitive skills for establishing “efficient agreements and managing conflicts” or viewing it as a form of “training” (p. 797) where the school plays a directive and guiding role. However, instead, they are processes in which subjects are affected by situations, practices, and discourses that are not always predictable or articulated and constitute their singularities based on their relationships with others. Subjectivation processes are marked by decentering, contradiction, and unpredictability, forming complex and multifaceted subjects rather than self-conscious and self-identical individuals (Fonseca, 2014). As Butler (1997; 2005) contends, the subject emerges as a procedural outcome rather than a fixed endpoint for action. This practice of situating oneself, which also implies reporting oneself (to the other, to institutions, to the norm), is constitutive of the processes of subjectivation, which is produced through bodies. </w:t>
      </w:r>
    </w:p>
    <w:p w14:paraId="00000029" w14:textId="77777777" w:rsidR="00B246FA" w:rsidRDefault="00000000">
      <w:pPr>
        <w:spacing w:after="0" w:line="360" w:lineRule="auto"/>
        <w:ind w:firstLine="720"/>
        <w:rPr>
          <w:rFonts w:ascii="Verdana" w:eastAsia="Verdana" w:hAnsi="Verdana" w:cs="Verdana"/>
          <w:sz w:val="24"/>
          <w:szCs w:val="24"/>
        </w:rPr>
      </w:pPr>
      <w:r>
        <w:rPr>
          <w:rFonts w:ascii="Verdana" w:eastAsia="Verdana" w:hAnsi="Verdana" w:cs="Verdana"/>
          <w:sz w:val="24"/>
          <w:szCs w:val="24"/>
        </w:rPr>
        <w:t>Contemplating the intricacies of subjectivation necessitates a deep dive into the social landscapes and prevailing norms within which these processes unfold. When we consider the dynamics of schooling—the selection of teaching materials, the content to be imparted, essentially the decisions regarding “what” and “how”—we inherently confront the privileging of particular gender, racial, and socioeconomic markers, alongside the perpetuation of particular notions of childhood and youth that shape the educational journey. To engage children in activities that probe their connections to this educational sphere and foster intersubjective relations, we must delve into the construction of their bodies and their power relations, as well as the psychosocial realities and historical contexts in which we are situated. In grappling with power dynamics, we heed Foucault's insights, recognising that power operates not as a tangible possession but as a diffuse, contradictory, and ambivalent force that permeates our interactions and existence in multifaceted ways (Foucault, 2014).</w:t>
      </w:r>
    </w:p>
    <w:p w14:paraId="0000002A" w14:textId="77777777" w:rsidR="00B246FA" w:rsidRDefault="00000000">
      <w:pPr>
        <w:spacing w:after="0" w:line="360" w:lineRule="auto"/>
        <w:ind w:firstLine="720"/>
        <w:rPr>
          <w:rFonts w:ascii="Verdana" w:eastAsia="Verdana" w:hAnsi="Verdana" w:cs="Verdana"/>
          <w:sz w:val="24"/>
          <w:szCs w:val="24"/>
        </w:rPr>
      </w:pPr>
      <w:r>
        <w:rPr>
          <w:rFonts w:ascii="Verdana" w:eastAsia="Verdana" w:hAnsi="Verdana" w:cs="Verdana"/>
          <w:sz w:val="24"/>
          <w:szCs w:val="24"/>
        </w:rPr>
        <w:t xml:space="preserve">Louro (1997) underscores the significance of an accurate perception of the senses to comprehend the essence of the school entirely, transcending the visible and the verbal—beyond mere rules and </w:t>
      </w:r>
      <w:r>
        <w:rPr>
          <w:rFonts w:ascii="Verdana" w:eastAsia="Verdana" w:hAnsi="Verdana" w:cs="Verdana"/>
          <w:sz w:val="24"/>
          <w:szCs w:val="24"/>
        </w:rPr>
        <w:lastRenderedPageBreak/>
        <w:t xml:space="preserve">prescribed content. The school embodies a complex tapestry of everyday practices, architectural design, spatial organisation from classrooms to playgrounds, temporal structures, material artefacts, visual representations, auditory cues, and the implicit values and norms that permeate its environment. Indeed, the institution of schooling serves as a crucible for organising subjectivities, producing differences, establishing norms and meanings, and delineating social boundaries. It not only imparts knowledge but also actively participates in the production of ethnic/racial, gender, sexuality, and social class identities and produces bodies considered healthy or not, expected or not. </w:t>
      </w:r>
    </w:p>
    <w:p w14:paraId="0000002B" w14:textId="77777777" w:rsidR="00B246FA" w:rsidRDefault="00000000">
      <w:pPr>
        <w:spacing w:after="0" w:line="360" w:lineRule="auto"/>
        <w:ind w:firstLine="720"/>
        <w:rPr>
          <w:rFonts w:ascii="Verdana" w:eastAsia="Verdana" w:hAnsi="Verdana" w:cs="Verdana"/>
          <w:sz w:val="24"/>
          <w:szCs w:val="24"/>
        </w:rPr>
      </w:pPr>
      <w:r>
        <w:rPr>
          <w:rFonts w:ascii="Verdana" w:eastAsia="Verdana" w:hAnsi="Verdana" w:cs="Verdana"/>
          <w:sz w:val="24"/>
          <w:szCs w:val="24"/>
        </w:rPr>
        <w:t>Regarding the production of “normal” and “abnormal” bodies in the school context, specifically the Brazilian/Latin American school system, Ferrari (2020) articulates that the definition of able and disabled bodies is deeply ingrained in the power structures that perpetuate marginalisation in the learning institution. The author will name this process as “colonialidad de la capacidad”, which translates to able-bodied colonialism. When talking about what constitutes being able-bodied in a society based on a post-modern colonial and Western context, able-bodied people are not only those with no physical impairments but also the ones who are seen as being able to fit the standard of productivity and performance that a capitalist system imposes, with their social values directly linked to it.</w:t>
      </w:r>
    </w:p>
    <w:p w14:paraId="0000002C" w14:textId="77777777" w:rsidR="00B246FA" w:rsidRDefault="00000000">
      <w:pPr>
        <w:spacing w:after="0" w:line="360" w:lineRule="auto"/>
        <w:ind w:firstLine="720"/>
        <w:rPr>
          <w:rFonts w:ascii="Verdana" w:eastAsia="Verdana" w:hAnsi="Verdana" w:cs="Verdana"/>
          <w:sz w:val="24"/>
          <w:szCs w:val="24"/>
        </w:rPr>
      </w:pPr>
      <w:r>
        <w:rPr>
          <w:rFonts w:ascii="Verdana" w:eastAsia="Verdana" w:hAnsi="Verdana" w:cs="Verdana"/>
          <w:sz w:val="24"/>
          <w:szCs w:val="24"/>
        </w:rPr>
        <w:t xml:space="preserve">The impacts of able-bodied colonialism in the education system are the depreciation of diverse forms of knowledge and abilities that disabled children can have, being deemed as less than, and being marginalised from the social structure of the learning environment once they fail to achieve the expectations of the norm. This exclusion is indissociable with other social tags that also produce marginalisation based on patriarchy and eugenic and racist scientism, attributing a less frequent bio-psycho-cognitive condition to political inequality. The education system plays several parts in institutionalising this social organisation, from creating it </w:t>
      </w:r>
      <w:r>
        <w:rPr>
          <w:rFonts w:ascii="Verdana" w:eastAsia="Verdana" w:hAnsi="Verdana" w:cs="Verdana"/>
          <w:sz w:val="24"/>
          <w:szCs w:val="24"/>
        </w:rPr>
        <w:lastRenderedPageBreak/>
        <w:t xml:space="preserve">based on scientific evidence in the universities to applying this evidence to socialising kids at school. </w:t>
      </w:r>
    </w:p>
    <w:p w14:paraId="0000002D" w14:textId="77777777" w:rsidR="00B246FA" w:rsidRDefault="00000000">
      <w:pPr>
        <w:spacing w:after="0" w:line="360" w:lineRule="auto"/>
        <w:ind w:firstLine="720"/>
        <w:rPr>
          <w:rFonts w:ascii="Verdana" w:eastAsia="Verdana" w:hAnsi="Verdana" w:cs="Verdana"/>
          <w:sz w:val="24"/>
          <w:szCs w:val="24"/>
        </w:rPr>
      </w:pPr>
      <w:r>
        <w:rPr>
          <w:rFonts w:ascii="Verdana" w:eastAsia="Verdana" w:hAnsi="Verdana" w:cs="Verdana"/>
          <w:sz w:val="24"/>
          <w:szCs w:val="24"/>
        </w:rPr>
        <w:t xml:space="preserve">Given that structural inequality inherently exists, the power dynamics between adults and children persist within educational institutions. Attempting to completely eradicate these dynamics from our research efforts, as noted by Silva and Gomes (2023), is a futile endeavour. Castro (2008) suggests that one approach to navigating this challenge in research involving children is acknowledging and confronting this inequality head-on. By embracing a stance recognising the inherent power imbalance, researchers can assume the responsibility of critically examining and addressing it. It is essential to understand that this inequality cannot be romantically overcome through the mere desire of the researcher. </w:t>
      </w:r>
    </w:p>
    <w:p w14:paraId="0000002E" w14:textId="77777777" w:rsidR="00B246FA" w:rsidRDefault="00000000">
      <w:pPr>
        <w:spacing w:after="0" w:line="360" w:lineRule="auto"/>
        <w:ind w:firstLine="720"/>
        <w:rPr>
          <w:rFonts w:ascii="Verdana" w:eastAsia="Verdana" w:hAnsi="Verdana" w:cs="Verdana"/>
          <w:sz w:val="24"/>
          <w:szCs w:val="24"/>
        </w:rPr>
      </w:pPr>
      <w:r>
        <w:rPr>
          <w:rFonts w:ascii="Verdana" w:eastAsia="Verdana" w:hAnsi="Verdana" w:cs="Verdana"/>
          <w:sz w:val="24"/>
          <w:szCs w:val="24"/>
        </w:rPr>
        <w:t>Just as gender, sexuality, race and social class are categories of subjectivation, age is also a political, historical and contingent category. Drawing on Foucault (2006) and Butler (2006), Pocahy (2012) discusses the idea of age as a device of intelligibility, that which is legible, and as a biopolitical artefact that controls, orders bodies and dictates expectations about life. Taking the intersectional debate, age is also a way of performing gender, desires and sexualities, making the generation category itself a performative act that frames the norm.</w:t>
      </w:r>
    </w:p>
    <w:p w14:paraId="0000002F" w14:textId="77777777" w:rsidR="00B246FA" w:rsidRDefault="00000000">
      <w:pPr>
        <w:spacing w:after="0" w:line="360" w:lineRule="auto"/>
        <w:ind w:firstLine="720"/>
        <w:rPr>
          <w:rFonts w:ascii="Verdana" w:eastAsia="Verdana" w:hAnsi="Verdana" w:cs="Verdana"/>
          <w:sz w:val="24"/>
          <w:szCs w:val="24"/>
        </w:rPr>
      </w:pPr>
      <w:r>
        <w:rPr>
          <w:rFonts w:ascii="Verdana" w:eastAsia="Verdana" w:hAnsi="Verdana" w:cs="Verdana"/>
          <w:sz w:val="24"/>
          <w:szCs w:val="24"/>
        </w:rPr>
        <w:t>In our project, we have continuously refined our understanding of childhood, striving to steer clear of simplistic, individualistic, developmental, or detached views of culture and society during fieldwork and data analysis. This ongoing effort to deepen our conceptualisation of childhood forms a fundamental aspect of our research endeavour. Engaging with Burman's research, particularly her discussion on Child as Method (Burman 2019, 2022), has enabled us to explore children's experiences within the (post-)pandemic educational landscape without reducing them to objects or stripping them of agency. Instead, we maintain a critical stance towards institutional and internalised perceptions of childhood, analysing them within our research framework.</w:t>
      </w:r>
    </w:p>
    <w:p w14:paraId="00000030" w14:textId="77777777" w:rsidR="00B246FA" w:rsidRDefault="00000000">
      <w:pPr>
        <w:spacing w:after="0" w:line="360" w:lineRule="auto"/>
        <w:ind w:firstLine="720"/>
        <w:rPr>
          <w:rFonts w:ascii="Verdana" w:eastAsia="Verdana" w:hAnsi="Verdana" w:cs="Verdana"/>
          <w:sz w:val="24"/>
          <w:szCs w:val="24"/>
        </w:rPr>
      </w:pPr>
      <w:r>
        <w:rPr>
          <w:rFonts w:ascii="Verdana" w:eastAsia="Verdana" w:hAnsi="Verdana" w:cs="Verdana"/>
          <w:sz w:val="24"/>
          <w:szCs w:val="24"/>
        </w:rPr>
        <w:lastRenderedPageBreak/>
        <w:t xml:space="preserve">Intervention research serves as the theoretical-methodological backbone of this study, as it diverges from the fragmented perspective of individuals solely aimed at conforming to prevailing societal norms. Instead, this approach views research as an inherently interventionist political commitment to societal change. It seeks to foster social emancipation through collaborative efforts, rejecting the reduction of individuals and phenomena to mere psychological constructs (Rocha &amp; Aguiar, 2003). </w:t>
      </w:r>
    </w:p>
    <w:p w14:paraId="00000031" w14:textId="77777777" w:rsidR="00B246FA" w:rsidRDefault="00B246FA">
      <w:pPr>
        <w:spacing w:after="0" w:line="360" w:lineRule="auto"/>
        <w:ind w:firstLine="720"/>
        <w:rPr>
          <w:rFonts w:ascii="Verdana" w:eastAsia="Verdana" w:hAnsi="Verdana" w:cs="Verdana"/>
          <w:sz w:val="24"/>
          <w:szCs w:val="24"/>
        </w:rPr>
      </w:pPr>
    </w:p>
    <w:p w14:paraId="00000032" w14:textId="77777777" w:rsidR="00B246FA" w:rsidRDefault="00000000">
      <w:pPr>
        <w:spacing w:after="0" w:line="360" w:lineRule="auto"/>
        <w:ind w:firstLine="720"/>
        <w:rPr>
          <w:rFonts w:ascii="Verdana" w:eastAsia="Verdana" w:hAnsi="Verdana" w:cs="Verdana"/>
          <w:b/>
          <w:sz w:val="24"/>
          <w:szCs w:val="24"/>
        </w:rPr>
      </w:pPr>
      <w:r>
        <w:rPr>
          <w:rFonts w:ascii="Verdana" w:eastAsia="Verdana" w:hAnsi="Verdana" w:cs="Verdana"/>
          <w:b/>
          <w:sz w:val="24"/>
          <w:szCs w:val="24"/>
        </w:rPr>
        <w:t>Going “back” to school?</w:t>
      </w:r>
    </w:p>
    <w:p w14:paraId="00000033" w14:textId="77777777" w:rsidR="00B246FA" w:rsidRDefault="00B246FA">
      <w:pPr>
        <w:spacing w:after="0" w:line="360" w:lineRule="auto"/>
        <w:ind w:firstLine="720"/>
        <w:rPr>
          <w:rFonts w:ascii="Verdana" w:eastAsia="Verdana" w:hAnsi="Verdana" w:cs="Verdana"/>
          <w:sz w:val="24"/>
          <w:szCs w:val="24"/>
        </w:rPr>
      </w:pPr>
    </w:p>
    <w:p w14:paraId="00000034" w14:textId="77777777" w:rsidR="00B246FA" w:rsidRDefault="00000000">
      <w:pPr>
        <w:spacing w:after="0" w:line="360" w:lineRule="auto"/>
        <w:ind w:firstLine="720"/>
        <w:rPr>
          <w:rFonts w:ascii="Verdana" w:eastAsia="Verdana" w:hAnsi="Verdana" w:cs="Verdana"/>
          <w:sz w:val="24"/>
          <w:szCs w:val="24"/>
        </w:rPr>
      </w:pPr>
      <w:r>
        <w:rPr>
          <w:rFonts w:ascii="Verdana" w:eastAsia="Verdana" w:hAnsi="Verdana" w:cs="Verdana"/>
          <w:sz w:val="24"/>
          <w:szCs w:val="24"/>
        </w:rPr>
        <w:t>In 2022, following a period of online learning, we initiated workshops at two schools in Rio de Janeiro, Brazil. These government-funded schools primarily cater to middle-class white students, although they also enrol black students and children from economically disadvantaged areas of the city. The workshops, consisting of five weekly sessions lasting 1 hour and 20 minutes each, were conducted with four groups of 4th-grade students (aged 9-10) at School A and two groups of 2nd-grade students (aged 7-8) at School B, involving approximately 150 children in total. For the 2nd-grade students, 2022 marked their first year in the school building after a period of online learning. This cohort learned how to read and write during the preceding year of remote education. It was their second year of formal schooling and their initial experience meeting classmates in person. Notably, the school psychologist recommended that our project target classes characterised by significant interpersonal conflicts among students, often called “relationship problems.”</w:t>
      </w:r>
      <w:r>
        <w:rPr>
          <w:rFonts w:ascii="Verdana" w:eastAsia="Verdana" w:hAnsi="Verdana" w:cs="Verdana"/>
          <w:sz w:val="24"/>
          <w:szCs w:val="24"/>
        </w:rPr>
        <w:tab/>
      </w:r>
    </w:p>
    <w:p w14:paraId="00000035" w14:textId="77777777" w:rsidR="00B246FA" w:rsidRDefault="00000000">
      <w:pPr>
        <w:spacing w:after="0" w:line="360" w:lineRule="auto"/>
        <w:ind w:firstLine="720"/>
        <w:rPr>
          <w:rFonts w:ascii="Verdana" w:eastAsia="Verdana" w:hAnsi="Verdana" w:cs="Verdana"/>
          <w:sz w:val="24"/>
          <w:szCs w:val="24"/>
        </w:rPr>
      </w:pPr>
      <w:r>
        <w:rPr>
          <w:rFonts w:ascii="Verdana" w:eastAsia="Verdana" w:hAnsi="Verdana" w:cs="Verdana"/>
          <w:sz w:val="24"/>
          <w:szCs w:val="24"/>
        </w:rPr>
        <w:t xml:space="preserve">After this first part of the fieldwork, in the first semester of 2023, workshops were conducted with three 3rd-grade groups (comprising students aged 8-9) at School B, along with one group of 4th-grade students (aged 9-10) at School A, involving a total of approximately 80 children. Building on our efforts, workshops were continued at School B </w:t>
      </w:r>
      <w:r>
        <w:rPr>
          <w:rFonts w:ascii="Verdana" w:eastAsia="Verdana" w:hAnsi="Verdana" w:cs="Verdana"/>
          <w:sz w:val="24"/>
          <w:szCs w:val="24"/>
        </w:rPr>
        <w:lastRenderedPageBreak/>
        <w:t>during the second semester of 2022 and the first semester of 2023, maintaining engagement with the same classes. This extension of our intervention period was prompted by recognising challenges in fostering connections within the school environment.</w:t>
      </w:r>
    </w:p>
    <w:p w14:paraId="00000036" w14:textId="77777777" w:rsidR="00B246FA" w:rsidRDefault="00000000">
      <w:pPr>
        <w:spacing w:after="0" w:line="360" w:lineRule="auto"/>
        <w:ind w:firstLine="720"/>
        <w:rPr>
          <w:rFonts w:ascii="Verdana" w:eastAsia="Verdana" w:hAnsi="Verdana" w:cs="Verdana"/>
          <w:sz w:val="24"/>
          <w:szCs w:val="24"/>
        </w:rPr>
      </w:pPr>
      <w:r>
        <w:rPr>
          <w:rFonts w:ascii="Verdana" w:eastAsia="Verdana" w:hAnsi="Verdana" w:cs="Verdana"/>
          <w:sz w:val="24"/>
          <w:szCs w:val="24"/>
        </w:rPr>
        <w:t xml:space="preserve"> In contrast to School A, which had partnered with the project since 2018, School B's involvement initially commenced in 2021 amid the era of social isolation. This entry into the project unfolded through remote and online activities initiated in response to requests from teachers and the school psychologist. The decision to engage with the project during this distance learning period stemmed from concerns school staff voiced regarding the lack of interpersonal connections experienced during isolation. Teachers and administrators expressed anguish over the challenges of remote instruction, particularly regarding the difficulty of teaching foundational skills such as reading and writing via videoconference platforms, which inherently suppressed the embodied and collective learning experiences. As highlighted by Souza (2021), education is inherently a cultural endeavour: “The act of educating is a discursive social practice, immersing the child in language and making them capable of addressing others and producing discourse or, in other words, making social ties” (Souza, p. 21). The pandemic-induced isolation appeared to create adverse conditions for meaningful educational interactions to occur.</w:t>
      </w:r>
    </w:p>
    <w:p w14:paraId="00000037" w14:textId="77777777" w:rsidR="00B246FA" w:rsidRDefault="00000000">
      <w:pPr>
        <w:spacing w:after="0" w:line="360" w:lineRule="auto"/>
        <w:ind w:firstLine="720"/>
        <w:rPr>
          <w:rFonts w:ascii="Verdana" w:eastAsia="Verdana" w:hAnsi="Verdana" w:cs="Verdana"/>
          <w:sz w:val="24"/>
          <w:szCs w:val="24"/>
        </w:rPr>
      </w:pPr>
      <w:r>
        <w:rPr>
          <w:rFonts w:ascii="Verdana" w:eastAsia="Verdana" w:hAnsi="Verdana" w:cs="Verdana"/>
          <w:sz w:val="24"/>
          <w:szCs w:val="24"/>
        </w:rPr>
        <w:t>In 2022, our team resumed fieldwork in person, transitioning into a post-isolation context. We addressed children's intersubjective relationships and their connection to the school, recognising these as pivotal factors in shaping children's subjectivity within an evolving societal landscape. The term “return to school,” widely echoed in society during this period, carried nuanced significance at School B. Here, children with whom we engaged were embarking on their inaugural journey into the school building.</w:t>
      </w:r>
    </w:p>
    <w:p w14:paraId="00000038" w14:textId="77777777" w:rsidR="00B246FA" w:rsidRDefault="00000000">
      <w:pPr>
        <w:spacing w:after="0" w:line="360" w:lineRule="auto"/>
        <w:ind w:firstLine="720"/>
        <w:rPr>
          <w:rFonts w:ascii="Verdana" w:eastAsia="Verdana" w:hAnsi="Verdana" w:cs="Verdana"/>
          <w:sz w:val="24"/>
          <w:szCs w:val="24"/>
        </w:rPr>
      </w:pPr>
      <w:r>
        <w:rPr>
          <w:rFonts w:ascii="Verdana" w:eastAsia="Verdana" w:hAnsi="Verdana" w:cs="Verdana"/>
          <w:sz w:val="24"/>
          <w:szCs w:val="24"/>
        </w:rPr>
        <w:t xml:space="preserve">Throughout 2022, Schools A and B witnessed a palpable tension within their classrooms. Our workshops provided a platform for students </w:t>
      </w:r>
      <w:r>
        <w:rPr>
          <w:rFonts w:ascii="Verdana" w:eastAsia="Verdana" w:hAnsi="Verdana" w:cs="Verdana"/>
          <w:sz w:val="24"/>
          <w:szCs w:val="24"/>
        </w:rPr>
        <w:lastRenderedPageBreak/>
        <w:t xml:space="preserve">to voluntarily engage in playful activities, exchanges, and discussions, creating an avenue for addressing intersubjective dynamics that often took a backseat during regular lessons. Within this space, disagreements among students surfaced as complex conflicts intertwined with issues of race, class, and gender. These challenges necessitated a flexible approach to workshop planning, enabling us to adapt our sessions to address emerging issues within each classroom. In 2023, our efforts at both schools shifted towards nurturing intersubjective relationships. We curated activities to explore the existing (or absent) connections between students and the school environment. </w:t>
      </w:r>
    </w:p>
    <w:p w14:paraId="00000039" w14:textId="77777777" w:rsidR="00B246FA" w:rsidRDefault="00000000">
      <w:pPr>
        <w:spacing w:after="0" w:line="360" w:lineRule="auto"/>
        <w:ind w:firstLine="720"/>
        <w:rPr>
          <w:rFonts w:ascii="Verdana" w:eastAsia="Verdana" w:hAnsi="Verdana" w:cs="Verdana"/>
          <w:sz w:val="24"/>
          <w:szCs w:val="24"/>
        </w:rPr>
      </w:pPr>
      <w:r>
        <w:rPr>
          <w:rFonts w:ascii="Verdana" w:eastAsia="Verdana" w:hAnsi="Verdana" w:cs="Verdana"/>
          <w:sz w:val="24"/>
          <w:szCs w:val="24"/>
        </w:rPr>
        <w:t xml:space="preserve">This section delves into the issues that surfaced during our 2022 fieldwork. As previously noted, this initial phase of field research shed light on the impact of isolating students in their homes for remote learning during the pandemic, particularly on their social dynamics and capacity to form connections at school. Through our interactions with the classes, we observed that social distancing measures led to an increased reliance on social media among the participating children. With fewer restrictions on gadget usage and amidst households where adults also spent considerable time in front of screens—whether for work or leisure—social networks emerged as a primary avenue for interaction and recreation for most of the children we engaged with. </w:t>
      </w:r>
    </w:p>
    <w:p w14:paraId="0000003A" w14:textId="77777777" w:rsidR="00B246FA" w:rsidRDefault="00000000">
      <w:pPr>
        <w:spacing w:after="0" w:line="360" w:lineRule="auto"/>
        <w:ind w:firstLine="720"/>
        <w:rPr>
          <w:rFonts w:ascii="Verdana" w:eastAsia="Verdana" w:hAnsi="Verdana" w:cs="Verdana"/>
          <w:sz w:val="24"/>
          <w:szCs w:val="24"/>
        </w:rPr>
      </w:pPr>
      <w:r>
        <w:rPr>
          <w:rFonts w:ascii="Verdana" w:eastAsia="Verdana" w:hAnsi="Verdana" w:cs="Verdana"/>
          <w:sz w:val="24"/>
          <w:szCs w:val="24"/>
        </w:rPr>
        <w:t xml:space="preserve">During the pandemic, while the widespread use of screens became a shared experience for children and adults at home, it also exacerbated generational disparities through individualised and algorithm-driven interactions. As we engaged in activities with the children, they recounted information, characters, and slang gleaned from digital platforms, notably TikTok and YouTube, where they consumed many videos. The content of these videos spanned diverse themes, with topics such as gender, sexuality, homophobia, and mental health resonating strongly with children. Beyond the thematic content, the digital realm has significantly influenced children's perceptions of time, privacy, and, often, the politics </w:t>
      </w:r>
      <w:r>
        <w:rPr>
          <w:rFonts w:ascii="Verdana" w:eastAsia="Verdana" w:hAnsi="Verdana" w:cs="Verdana"/>
          <w:sz w:val="24"/>
          <w:szCs w:val="24"/>
        </w:rPr>
        <w:lastRenderedPageBreak/>
        <w:t xml:space="preserve">of hate that social networks call for within the hostile capitalist framework (Ortiz-González, 2023). </w:t>
      </w:r>
    </w:p>
    <w:p w14:paraId="0000003B" w14:textId="77777777" w:rsidR="00B246FA" w:rsidRDefault="00000000">
      <w:pPr>
        <w:spacing w:after="0" w:line="360" w:lineRule="auto"/>
        <w:ind w:firstLine="720"/>
        <w:rPr>
          <w:rFonts w:ascii="Verdana" w:eastAsia="Verdana" w:hAnsi="Verdana" w:cs="Verdana"/>
          <w:sz w:val="24"/>
          <w:szCs w:val="24"/>
        </w:rPr>
      </w:pPr>
      <w:r>
        <w:rPr>
          <w:rFonts w:ascii="Verdana" w:eastAsia="Verdana" w:hAnsi="Verdana" w:cs="Verdana"/>
          <w:sz w:val="24"/>
          <w:szCs w:val="24"/>
        </w:rPr>
        <w:t>The dynamics of relationships within the school environment are deeply influenced by the content accessed on social networks, delineating commonalities in language, shared spaces, and subjective perspectives. Engagement with social media platforms facilitates ongoing interactions that permeate school-based relationships. During one workshop activity titled "Rio da Vida" (River of Life)</w:t>
      </w:r>
      <w:r>
        <w:rPr>
          <w:rFonts w:ascii="Verdana" w:eastAsia="Verdana" w:hAnsi="Verdana" w:cs="Verdana"/>
          <w:sz w:val="24"/>
          <w:szCs w:val="24"/>
          <w:vertAlign w:val="superscript"/>
        </w:rPr>
        <w:footnoteReference w:id="4"/>
      </w:r>
      <w:r>
        <w:rPr>
          <w:rFonts w:ascii="Verdana" w:eastAsia="Verdana" w:hAnsi="Verdana" w:cs="Verdana"/>
          <w:sz w:val="24"/>
          <w:szCs w:val="24"/>
        </w:rPr>
        <w:t xml:space="preserve">, where participants were tasked with sketching a river to signify significant life events, a child, approximately eight years old, depicted two pivotal moments: their birth and the creation of a TikTok account. </w:t>
      </w:r>
    </w:p>
    <w:p w14:paraId="0000003C" w14:textId="77777777" w:rsidR="00B246FA" w:rsidRDefault="00000000">
      <w:pPr>
        <w:spacing w:after="0" w:line="360" w:lineRule="auto"/>
        <w:ind w:firstLine="720"/>
        <w:rPr>
          <w:rFonts w:ascii="Verdana" w:eastAsia="Verdana" w:hAnsi="Verdana" w:cs="Verdana"/>
          <w:sz w:val="24"/>
          <w:szCs w:val="24"/>
        </w:rPr>
      </w:pPr>
      <w:r>
        <w:rPr>
          <w:rFonts w:ascii="Verdana" w:eastAsia="Verdana" w:hAnsi="Verdana" w:cs="Verdana"/>
          <w:sz w:val="24"/>
          <w:szCs w:val="24"/>
        </w:rPr>
        <w:t>In social networks, children are not merely passive observers; they actively engage as content creators, a phenomenon illuminated in Figueiredo's (2022) investigation into self-promotion on TikTok. Platforms like TikTok have fostered a sense of “child protagonism,” wherein individuals, including children, are encouraged to voice their opinions on various topics, effectively transforming their profiles into personal platforms for expression. However, the proliferation of individualised content driven by algorithms frequently leads to the dissemination of prejudice and/or hate-filled messages disguised as opinions.</w:t>
      </w:r>
    </w:p>
    <w:p w14:paraId="0000003D" w14:textId="77777777" w:rsidR="00B246FA" w:rsidRDefault="00000000">
      <w:pPr>
        <w:spacing w:after="0" w:line="360" w:lineRule="auto"/>
        <w:ind w:firstLine="720"/>
        <w:rPr>
          <w:rFonts w:ascii="Verdana" w:eastAsia="Verdana" w:hAnsi="Verdana" w:cs="Verdana"/>
          <w:sz w:val="24"/>
          <w:szCs w:val="24"/>
        </w:rPr>
      </w:pPr>
      <w:r>
        <w:rPr>
          <w:rFonts w:ascii="Verdana" w:eastAsia="Verdana" w:hAnsi="Verdana" w:cs="Verdana"/>
          <w:sz w:val="24"/>
          <w:szCs w:val="24"/>
        </w:rPr>
        <w:t>Martuchi's work (2024) analyses the fieldwork at school A, discussing how children are connected to gender, sexuality and their uses of social media, especially through the idea of gossip as a dispositif that articulates children at school. Queer language and slang, present in viral videos children used to watch, were introduced in their relationships, demanding children to deal with gender and sexuality normativities (and their subversion). For these children, gossip has proved to be a way of producing and exercising gender and sexuality, playing with the idea of truth, power and negotiation.</w:t>
      </w:r>
    </w:p>
    <w:p w14:paraId="0000003E" w14:textId="77777777" w:rsidR="00B246FA" w:rsidRDefault="00000000">
      <w:pPr>
        <w:spacing w:after="0" w:line="360" w:lineRule="auto"/>
        <w:ind w:firstLine="720"/>
        <w:rPr>
          <w:rFonts w:ascii="Verdana" w:eastAsia="Verdana" w:hAnsi="Verdana" w:cs="Verdana"/>
          <w:sz w:val="24"/>
          <w:szCs w:val="24"/>
        </w:rPr>
      </w:pPr>
      <w:r>
        <w:rPr>
          <w:rFonts w:ascii="Verdana" w:eastAsia="Verdana" w:hAnsi="Verdana" w:cs="Verdana"/>
          <w:sz w:val="24"/>
          <w:szCs w:val="24"/>
        </w:rPr>
        <w:lastRenderedPageBreak/>
        <w:t xml:space="preserve">Additionally, we observed students integrating terms such as “sexism,” “racism,” and “homophobia” into their school discussions, particularly when highlighting instances of racist or misogynistic behaviour and language among their peers. Of particular note was their keen interest in topics related to gender and sexuality, which they actively brought up during the workshops. These included terms such as “trans people,” “non-binary people,” “unisex/non-binary restrooms,” “people's restrooms,” “gender fluid,” “varied sexualities,” the neuter pronoun “they" and “gender issues,” among others. When asked where they accessed these terms, the responses consistently pointed to social media platforms: </w:t>
      </w:r>
      <w:r>
        <w:rPr>
          <w:rFonts w:ascii="Verdana" w:eastAsia="Verdana" w:hAnsi="Verdana" w:cs="Verdana"/>
          <w:i/>
          <w:sz w:val="24"/>
          <w:szCs w:val="24"/>
        </w:rPr>
        <w:t xml:space="preserve">“We saw it on TikTok,” “It’s an Insta meme, miss.” </w:t>
      </w:r>
      <w:r>
        <w:rPr>
          <w:rFonts w:ascii="Verdana" w:eastAsia="Verdana" w:hAnsi="Verdana" w:cs="Verdana"/>
          <w:sz w:val="24"/>
          <w:szCs w:val="24"/>
        </w:rPr>
        <w:t>Although not all children in the groups were actively engaged in these exchanges, exploring the digital realm facilitated interaction among children from different groups.</w:t>
      </w:r>
    </w:p>
    <w:p w14:paraId="0000003F" w14:textId="77777777" w:rsidR="00B246FA" w:rsidRDefault="00000000">
      <w:pPr>
        <w:spacing w:after="0" w:line="360" w:lineRule="auto"/>
        <w:ind w:firstLine="720"/>
        <w:rPr>
          <w:rFonts w:ascii="Verdana" w:eastAsia="Verdana" w:hAnsi="Verdana" w:cs="Verdana"/>
          <w:sz w:val="24"/>
          <w:szCs w:val="24"/>
        </w:rPr>
      </w:pPr>
      <w:r>
        <w:rPr>
          <w:rFonts w:ascii="Verdana" w:eastAsia="Verdana" w:hAnsi="Verdana" w:cs="Verdana"/>
          <w:sz w:val="24"/>
          <w:szCs w:val="24"/>
        </w:rPr>
        <w:t xml:space="preserve">In a context where there is a rise of ultra-conservatism in Brazil’s political climate, we witness a trend of attacks on teachers and schools under the guise of combating the alleged “indoctrination” of children and adolescents through the teaching of “gender ideology” (Teixeira &amp; Bulgarelli, 2023). Recognising the students’ keen interest in these cultural topics is crucial, as they often access them through social media at their own will, irrespective of their inclusion in the school curriculum. It is significant to acknowledge that students were eager to share their knowledge with the research team, asking questions about these terms. They also expressed excitement about the team’s integrating Internet content into classroom discussions. This aligns with the debate introduced by Seixas and Gomes (2023), who challenged the traditional notion: “the place of children is at school”. They advocated for the following concept: “the place of children is in culture,” critiquing the conventional role of schools—and children—in disciplining and educating students without considering their lived experiences and perspectives. The ultra-conservative narrative frequently depicts children as passive recipients in need of protection and rescue by adults, invoking the image of ‘idiotic </w:t>
      </w:r>
      <w:r>
        <w:rPr>
          <w:rFonts w:ascii="Verdana" w:eastAsia="Verdana" w:hAnsi="Verdana" w:cs="Verdana"/>
          <w:sz w:val="24"/>
          <w:szCs w:val="24"/>
        </w:rPr>
        <w:lastRenderedPageBreak/>
        <w:t>child,’ proposed by Burman (2019). This portrayal seeks to distance children from active engagement in social relationships and from the values and ideologies that shape their understanding of the world, instead depicting them as inherently naïve and vulnerable. Our workshops at the schools directly challenge this notion of the child by actively engaging with their statements, questions about the world and, notably, the conflicts they encounter.</w:t>
      </w:r>
    </w:p>
    <w:p w14:paraId="00000040" w14:textId="77777777" w:rsidR="00B246FA" w:rsidRDefault="00000000">
      <w:pPr>
        <w:spacing w:after="0" w:line="360" w:lineRule="auto"/>
        <w:ind w:firstLine="720"/>
        <w:rPr>
          <w:rFonts w:ascii="Verdana" w:eastAsia="Verdana" w:hAnsi="Verdana" w:cs="Verdana"/>
          <w:sz w:val="24"/>
          <w:szCs w:val="24"/>
        </w:rPr>
      </w:pPr>
      <w:r>
        <w:rPr>
          <w:rFonts w:ascii="Verdana" w:eastAsia="Verdana" w:hAnsi="Verdana" w:cs="Verdana"/>
          <w:sz w:val="24"/>
          <w:szCs w:val="24"/>
        </w:rPr>
        <w:t xml:space="preserve">Viewing children as an inherently vulnerable group contributes to their silencing and stigmatisation, placing them in a passive position as solely dependent beings. The human condition of interdependence positions children (and not only them) in their relational aspect: ‘child with’, ‘alongside’, ‘interacting with’, ‘in front of’, never ‘the child’, because the universal child doesn't exist (Prado &amp; Freitas, 2020). Following Burman's discussion (2019) on Child as method, our fieldwork was conducted to consider children in an interpretative or narrative position, which is the opposite of taking them strictly as </w:t>
      </w:r>
      <w:r>
        <w:rPr>
          <w:rFonts w:ascii="Verdana" w:eastAsia="Verdana" w:hAnsi="Verdana" w:cs="Verdana"/>
          <w:i/>
          <w:sz w:val="24"/>
          <w:szCs w:val="24"/>
        </w:rPr>
        <w:t xml:space="preserve">victims </w:t>
      </w:r>
      <w:r>
        <w:rPr>
          <w:rFonts w:ascii="Verdana" w:eastAsia="Verdana" w:hAnsi="Verdana" w:cs="Verdana"/>
          <w:sz w:val="24"/>
          <w:szCs w:val="24"/>
        </w:rPr>
        <w:t>of the pandemic and social distance. Assuming that the remote learning, the sanitary crises and the effects on learning and relationships impacted the whole school communities, the objective of the project was not to adjust children's behaviour or improve their learning to reach age standards that would be delayed due to the pandemic, but to offer a space of meeting others to talk about their experiences and what they were going through, interpreting together the context.</w:t>
      </w:r>
    </w:p>
    <w:p w14:paraId="00000041" w14:textId="77777777" w:rsidR="00B246FA" w:rsidRDefault="00000000">
      <w:pPr>
        <w:spacing w:after="0" w:line="360" w:lineRule="auto"/>
        <w:ind w:firstLine="720"/>
        <w:rPr>
          <w:rFonts w:ascii="Verdana" w:eastAsia="Verdana" w:hAnsi="Verdana" w:cs="Verdana"/>
          <w:sz w:val="24"/>
          <w:szCs w:val="24"/>
        </w:rPr>
      </w:pPr>
      <w:r>
        <w:rPr>
          <w:rFonts w:ascii="Verdana" w:eastAsia="Verdana" w:hAnsi="Verdana" w:cs="Verdana"/>
          <w:sz w:val="24"/>
          <w:szCs w:val="24"/>
        </w:rPr>
        <w:t>At school B, during various activities proposed where students were divided into subgroups, we observed tensions among the students and instances of exclusion of some children, prompting our team to intervene in these situations and encourage collective participation. This exclusion was not limited to particular groups attempting to guard their territory and sustain their unity but also involved certain students actively preventing other children from feeling included in any group. Notable, this segregation often correlated to class and racial markers.</w:t>
      </w:r>
    </w:p>
    <w:p w14:paraId="00000042" w14:textId="77777777" w:rsidR="00B246FA" w:rsidRDefault="00000000">
      <w:pPr>
        <w:spacing w:after="0" w:line="360" w:lineRule="auto"/>
        <w:ind w:firstLine="720"/>
        <w:rPr>
          <w:rFonts w:ascii="Verdana" w:eastAsia="Verdana" w:hAnsi="Verdana" w:cs="Verdana"/>
          <w:sz w:val="24"/>
          <w:szCs w:val="24"/>
        </w:rPr>
      </w:pPr>
      <w:r>
        <w:rPr>
          <w:rFonts w:ascii="Verdana" w:eastAsia="Verdana" w:hAnsi="Verdana" w:cs="Verdana"/>
          <w:sz w:val="24"/>
          <w:szCs w:val="24"/>
        </w:rPr>
        <w:lastRenderedPageBreak/>
        <w:t xml:space="preserve">The children’s perceptions of race and class appear to strongly influence their participation in the group, extending beyond their interactions with one another, including their relationships with the research team. Most of the conflicts revolved around issues of race and class, leading to instances of segregation and/or aggression among participants. Some children demonstrated an understanding of racism within the classroom, while others employed strategies to avoid accountability, particularly among white children. For instance, during a confrontation over a racist incident involving a white child and a black child during recess, a white boy expressed concern about the incident being reported to his mother. He asked that if there was any need for his mother to be informed about what happened, the school should just say that "racist acts happened at school". This incident was reported to the workshop facilitators during a group activity called “Collective Drawing”, where the black child, a boy as well, was frustrated and reacted with anger and tears, scribbling on classmates’ drawings and isolating himself in a room. A facilitator approached the distressed child, realising that the conflict in the classroom mirrored an earlier incident during recess. This occurrence prompted reflection among the supervising team, highlighting the prevalence of racism in the children’s interactions. It underscores the need to reject the notion that children are incapable of causing harm and distress to others, either adults or children, as suggested by Burman (2019), with the concept of the ‘traumatogenic child’. In her words, </w:t>
      </w:r>
    </w:p>
    <w:p w14:paraId="00000043" w14:textId="77777777" w:rsidR="00B246FA" w:rsidRDefault="00000000">
      <w:pPr>
        <w:spacing w:after="0" w:line="360" w:lineRule="auto"/>
        <w:ind w:left="708"/>
        <w:rPr>
          <w:rFonts w:ascii="Verdana" w:eastAsia="Verdana" w:hAnsi="Verdana" w:cs="Verdana"/>
          <w:sz w:val="24"/>
          <w:szCs w:val="24"/>
        </w:rPr>
      </w:pPr>
      <w:r>
        <w:rPr>
          <w:rFonts w:ascii="Verdana" w:eastAsia="Verdana" w:hAnsi="Verdana" w:cs="Verdana"/>
          <w:sz w:val="24"/>
          <w:szCs w:val="24"/>
        </w:rPr>
        <w:t>Traumatogenic child, then, is shown to work as a form of child as method securing a particular model of time and development, in which the status of child poses specific as well as general problems. What is topicalised, however, is the meaning and effect of the traumatogenic encounter, that is, the trauma, rather than the position of the traumatiser (Burman, 2019, p. 80).</w:t>
      </w:r>
    </w:p>
    <w:p w14:paraId="00000044" w14:textId="77777777" w:rsidR="00B246FA" w:rsidRDefault="00000000">
      <w:pPr>
        <w:spacing w:after="0" w:line="360" w:lineRule="auto"/>
        <w:ind w:firstLine="720"/>
        <w:rPr>
          <w:rFonts w:ascii="Verdana" w:eastAsia="Verdana" w:hAnsi="Verdana" w:cs="Verdana"/>
          <w:sz w:val="24"/>
          <w:szCs w:val="24"/>
        </w:rPr>
      </w:pPr>
      <w:r>
        <w:rPr>
          <w:rFonts w:ascii="Verdana" w:eastAsia="Verdana" w:hAnsi="Verdana" w:cs="Verdana"/>
          <w:sz w:val="24"/>
          <w:szCs w:val="24"/>
        </w:rPr>
        <w:t xml:space="preserve">The complexity of the scene demanded the research team and the teacher, who was asked to be with the group in this situation by facilitators, to mediate the conflict, avoiding 1. putting the black student </w:t>
      </w:r>
      <w:r>
        <w:rPr>
          <w:rFonts w:ascii="Verdana" w:eastAsia="Verdana" w:hAnsi="Verdana" w:cs="Verdana"/>
          <w:sz w:val="24"/>
          <w:szCs w:val="24"/>
        </w:rPr>
        <w:lastRenderedPageBreak/>
        <w:t xml:space="preserve">in a “troublemaking” position; 2. excusing the white student considering that “he’s just a kid”, or 3. fixing the black student as a victim and the white student as the aggressor, since the situation happened in an educational space. On this occasion, as with other instances of conflict among the children, we facilitated a collective exchange on what had transpired, allowing each student to express the anger, frustration, and sadness they were experiencing. As illustrated in the case described above, this effort to encourage group dialogue about the incident led to a sense of acceptance among the students in certain instances. To achieve this, we had to embrace the uncomfortable task of holding ourselves accountable, recognising it as a shared responsibility to address biased practices within the school environment. </w:t>
      </w:r>
    </w:p>
    <w:p w14:paraId="00000045" w14:textId="77777777" w:rsidR="00B246FA" w:rsidRDefault="00000000">
      <w:pPr>
        <w:spacing w:after="0" w:line="360" w:lineRule="auto"/>
        <w:ind w:firstLine="720"/>
        <w:rPr>
          <w:rFonts w:ascii="Verdana" w:eastAsia="Verdana" w:hAnsi="Verdana" w:cs="Verdana"/>
          <w:sz w:val="24"/>
          <w:szCs w:val="24"/>
        </w:rPr>
      </w:pPr>
      <w:r>
        <w:rPr>
          <w:rFonts w:ascii="Verdana" w:eastAsia="Verdana" w:hAnsi="Verdana" w:cs="Verdana"/>
          <w:sz w:val="24"/>
          <w:szCs w:val="24"/>
        </w:rPr>
        <w:t>The overwhelming nature of the collective experience was further conveyed to the team through children’s negative remarks about their classroom experiences. Distancing and animosity among students were evident in their frustration with the recurring arguments that hindered their ability to play together during recess, for example. We interpreted that opening space for the emergence of such statements allowed for other shared collective experiences. The tense atmosphere resulting from frequent episodes of peer aggression appeared to generate a sense of weariness in investing in relationships, a sentiment we encountered while addressing conflicts during the workshops in the initial year of fieldwork.</w:t>
      </w:r>
    </w:p>
    <w:p w14:paraId="00000046" w14:textId="77777777" w:rsidR="00B246FA" w:rsidRDefault="00B246FA">
      <w:pPr>
        <w:spacing w:after="0" w:line="360" w:lineRule="auto"/>
        <w:ind w:firstLine="720"/>
        <w:rPr>
          <w:rFonts w:ascii="Verdana" w:eastAsia="Verdana" w:hAnsi="Verdana" w:cs="Verdana"/>
          <w:sz w:val="24"/>
          <w:szCs w:val="24"/>
        </w:rPr>
      </w:pPr>
    </w:p>
    <w:p w14:paraId="00000047" w14:textId="77777777" w:rsidR="00B246FA" w:rsidRDefault="00000000">
      <w:pPr>
        <w:spacing w:after="0" w:line="360" w:lineRule="auto"/>
        <w:ind w:firstLine="720"/>
        <w:rPr>
          <w:rFonts w:ascii="Verdana" w:eastAsia="Verdana" w:hAnsi="Verdana" w:cs="Verdana"/>
          <w:b/>
          <w:sz w:val="24"/>
          <w:szCs w:val="24"/>
        </w:rPr>
      </w:pPr>
      <w:r>
        <w:rPr>
          <w:rFonts w:ascii="Verdana" w:eastAsia="Verdana" w:hAnsi="Verdana" w:cs="Verdana"/>
          <w:b/>
          <w:sz w:val="24"/>
          <w:szCs w:val="24"/>
        </w:rPr>
        <w:t>Affectivity, norms, and school subjectivation: the classroom space under dispute</w:t>
      </w:r>
    </w:p>
    <w:p w14:paraId="00000048" w14:textId="77777777" w:rsidR="00B246FA" w:rsidRDefault="00B246FA">
      <w:pPr>
        <w:spacing w:after="0" w:line="360" w:lineRule="auto"/>
        <w:ind w:firstLine="720"/>
        <w:rPr>
          <w:rFonts w:ascii="Verdana" w:eastAsia="Verdana" w:hAnsi="Verdana" w:cs="Verdana"/>
          <w:sz w:val="24"/>
          <w:szCs w:val="24"/>
        </w:rPr>
      </w:pPr>
    </w:p>
    <w:p w14:paraId="00000049" w14:textId="77777777" w:rsidR="00B246FA" w:rsidRDefault="00000000">
      <w:pPr>
        <w:spacing w:after="0" w:line="360" w:lineRule="auto"/>
        <w:ind w:firstLine="720"/>
        <w:rPr>
          <w:rFonts w:ascii="Verdana" w:eastAsia="Verdana" w:hAnsi="Verdana" w:cs="Verdana"/>
          <w:sz w:val="24"/>
          <w:szCs w:val="24"/>
        </w:rPr>
      </w:pPr>
      <w:r>
        <w:rPr>
          <w:rFonts w:ascii="Verdana" w:eastAsia="Verdana" w:hAnsi="Verdana" w:cs="Verdana"/>
          <w:sz w:val="24"/>
          <w:szCs w:val="24"/>
        </w:rPr>
        <w:t xml:space="preserve">In 2023, our partnership with school B deepened as we identified field challenges requiring further attention. Responding to the requests made by the teaching staff and the school psychologist, we committed to continuing our engagement with the groups that had participated in our workshops the previous year. Recognising the considerable challenges </w:t>
      </w:r>
      <w:r>
        <w:rPr>
          <w:rFonts w:ascii="Verdana" w:eastAsia="Verdana" w:hAnsi="Verdana" w:cs="Verdana"/>
          <w:sz w:val="24"/>
          <w:szCs w:val="24"/>
        </w:rPr>
        <w:lastRenderedPageBreak/>
        <w:t>posed by the (post-)pandemic context, we analyse our work with one of the 3rd-year groups in this section.</w:t>
      </w:r>
    </w:p>
    <w:p w14:paraId="0000004A" w14:textId="77777777" w:rsidR="00B246FA" w:rsidRDefault="00000000">
      <w:pPr>
        <w:spacing w:after="0" w:line="360" w:lineRule="auto"/>
        <w:ind w:firstLine="720"/>
        <w:rPr>
          <w:rFonts w:ascii="Verdana" w:eastAsia="Verdana" w:hAnsi="Verdana" w:cs="Verdana"/>
          <w:sz w:val="24"/>
          <w:szCs w:val="24"/>
        </w:rPr>
      </w:pPr>
      <w:r>
        <w:rPr>
          <w:rFonts w:ascii="Verdana" w:eastAsia="Verdana" w:hAnsi="Verdana" w:cs="Verdana"/>
          <w:sz w:val="24"/>
          <w:szCs w:val="24"/>
        </w:rPr>
        <w:t>We started the workshops with five new activities. We planned to explore the dynamics of children's relationships with school, the role of affectivity within the school environment, and their vision of an ideal school. We were interested in hearing participant children discuss their feelings and desires about school and any complaints regarding their conflicting relationships with classmates. All these topics were strongly connected to their embodied presence at school.</w:t>
      </w:r>
    </w:p>
    <w:p w14:paraId="0000004B" w14:textId="77777777" w:rsidR="00B246FA" w:rsidRDefault="00000000">
      <w:pPr>
        <w:spacing w:after="0" w:line="360" w:lineRule="auto"/>
        <w:ind w:firstLine="720"/>
        <w:rPr>
          <w:rFonts w:ascii="Verdana" w:eastAsia="Verdana" w:hAnsi="Verdana" w:cs="Verdana"/>
          <w:sz w:val="24"/>
          <w:szCs w:val="24"/>
        </w:rPr>
      </w:pPr>
      <w:r>
        <w:rPr>
          <w:rFonts w:ascii="Verdana" w:eastAsia="Verdana" w:hAnsi="Verdana" w:cs="Verdana"/>
          <w:sz w:val="24"/>
          <w:szCs w:val="24"/>
        </w:rPr>
        <w:t>However, the planned schedule of activities was followed in only one of the three groups. The activities in the remaining two groups were tailored to accommodate each group's singular demands and processes, mainly characterised by conflicts. Children in these groups also expressed their discontent and lack of interest in discussing school-related topics, mentioning the individual and collective unbearably encountered in the school experience while navigating differences amidst interactions with their classmates. It became evident that these children sought to establish a safe and individualised place, leading to deep frustration, occasional outbursts of anger, and tears when confronted with the prospect of sharing space and participating in activities with others during the workshops. To address this, the team proposed breathing exercises at some meetings, allowing children to listen to one another and collectively engage in the activities.</w:t>
      </w:r>
    </w:p>
    <w:p w14:paraId="0000004C" w14:textId="77777777" w:rsidR="00B246FA" w:rsidRDefault="00000000">
      <w:pPr>
        <w:spacing w:after="0" w:line="360" w:lineRule="auto"/>
        <w:ind w:firstLine="720"/>
        <w:rPr>
          <w:rFonts w:ascii="Verdana" w:eastAsia="Verdana" w:hAnsi="Verdana" w:cs="Verdana"/>
          <w:sz w:val="24"/>
          <w:szCs w:val="24"/>
        </w:rPr>
      </w:pPr>
      <w:r>
        <w:rPr>
          <w:rFonts w:ascii="Verdana" w:eastAsia="Verdana" w:hAnsi="Verdana" w:cs="Verdana"/>
          <w:sz w:val="24"/>
          <w:szCs w:val="24"/>
        </w:rPr>
        <w:t xml:space="preserve">Regarding the team’s presence in the classroom, it is notable that the workshop activities introduced hierarchical shifts in both spatial organisation (such as positioning the chairs into a large circle) and in discursive approaches (encouraging the idea that there were no “right” or “wrong” answers, inviting children to share their ideas and perception freely), diverging from the typical structure of a regular classroom. We suggested that the teachers of these groups did not remain in the classroom, returning only after the activities or earlier if necessary, such as in conflict situations. These suspensions of both authoritative figures in </w:t>
      </w:r>
      <w:r>
        <w:rPr>
          <w:rFonts w:ascii="Verdana" w:eastAsia="Verdana" w:hAnsi="Verdana" w:cs="Verdana"/>
          <w:sz w:val="24"/>
          <w:szCs w:val="24"/>
        </w:rPr>
        <w:lastRenderedPageBreak/>
        <w:t>the classroom and traditional spatial organisation, coupled with the team’s status as outsiders to the school, facilitated a more immersive classroom experience for the children in various ways. Affections were expressed along a fine line between play and conflict, often occurring in a generalised manner. Physical contact among children ranged from expressions of friendship through hugs and affection to manifestations of conflict through fights, arguments, and provocations. The blurred distinction between play and conflict was evident, as interactions that initially seemed fun could escalate into aggression. This dynamic raised concern for the teaching staff (and the research team), who were confronted with a scenario described as unprecedented. Buss-Simão and Lessa (2020) discuss the heightened difficulty of listening among children, exacerbated by the pandemic–that is, the understanding of the communication conveyed by the other. Beyond the obvious challenges posed by social isolation, it is essential to recognise that for children, this isolation meant separation from their peers at school, confining them to life at home, often with only adults.</w:t>
      </w:r>
    </w:p>
    <w:p w14:paraId="0000004D" w14:textId="77777777" w:rsidR="00B246FA" w:rsidRDefault="00000000">
      <w:pPr>
        <w:spacing w:after="0" w:line="360" w:lineRule="auto"/>
        <w:ind w:firstLine="720"/>
        <w:rPr>
          <w:rFonts w:ascii="Verdana" w:eastAsia="Verdana" w:hAnsi="Verdana" w:cs="Verdana"/>
          <w:sz w:val="24"/>
          <w:szCs w:val="24"/>
        </w:rPr>
      </w:pPr>
      <w:r>
        <w:rPr>
          <w:rFonts w:ascii="Verdana" w:eastAsia="Verdana" w:hAnsi="Verdana" w:cs="Verdana"/>
          <w:sz w:val="24"/>
          <w:szCs w:val="24"/>
        </w:rPr>
        <w:t xml:space="preserve">In reformulating activities based on the dynamics of the groups, adopting a research-intervention perspective proved valuable in accommodating each group's unique processes without preconceived directions. Research intervention takes place through dialogue with children, requiring us to constantly reflect on our place as adult researchers since the adult-centric logic is always present as a legacy left by capitalist, Eurocentric and colonial roots. Castro (2008) offers insights into research ethics concerning children, emphasising that we must not expect a manual on what to do and what not to do in field activities. Conversely, ethics must be approached as an active reflection “on how the interests of hegemonic groups may influence research with children, and what we can – and must – do to address diverse demands even when they are not fully articulated.” (Castro, 2008, p. 21). Consequently, we considered the negative responses to the proposed activities significant for our investigation. It is crucial to recognise that the usual adult-child </w:t>
      </w:r>
      <w:r>
        <w:rPr>
          <w:rFonts w:ascii="Verdana" w:eastAsia="Verdana" w:hAnsi="Verdana" w:cs="Verdana"/>
          <w:sz w:val="24"/>
          <w:szCs w:val="24"/>
        </w:rPr>
        <w:lastRenderedPageBreak/>
        <w:t>relationships often distort children’s otherness, assuming adults know what is at stake, which would not require translation, as if childhood were transparent in their eyes (Larrosa, 2010). Those deemed knowledgeable about children often speak as authorities' statements on their desires and needs, disregarding the complexity of children’s voices. Discussions on the objectives of our work and field management, as supervisors, helped us catch a glimpse of occasional challenges in listening to the perspectives emerging from the field, especially when they contradicted our expectations. Moreover, it is essential to acknowledge any expectations and biases that researchers may bring, revisiting our assumptions (in a different paper, we analysed the development of this process in fieldwork with children before the pandemic: Mattos and Silva, 2023).</w:t>
      </w:r>
    </w:p>
    <w:p w14:paraId="0000004E" w14:textId="77777777" w:rsidR="00B246FA" w:rsidRDefault="00000000">
      <w:pPr>
        <w:spacing w:after="0" w:line="360" w:lineRule="auto"/>
        <w:ind w:firstLine="720"/>
        <w:rPr>
          <w:rFonts w:ascii="Verdana" w:eastAsia="Verdana" w:hAnsi="Verdana" w:cs="Verdana"/>
          <w:sz w:val="24"/>
          <w:szCs w:val="24"/>
        </w:rPr>
      </w:pPr>
      <w:r>
        <w:rPr>
          <w:rFonts w:ascii="Verdana" w:eastAsia="Verdana" w:hAnsi="Verdana" w:cs="Verdana"/>
          <w:sz w:val="24"/>
          <w:szCs w:val="24"/>
        </w:rPr>
        <w:t>In one of the groups, outbursts of rage, fights, and intense crying, though not exclusive to our workshops, were notably heightened during our sessions. These occurrences challenged children and adults in navigating this period and ascribing collective meaning to the school experience. As hooks (2010) suggests, the presence of intense emotions in school settings disrupts traditional teaching and learning dynamics, such as:</w:t>
      </w:r>
    </w:p>
    <w:p w14:paraId="0000004F" w14:textId="77777777" w:rsidR="00B246FA" w:rsidRDefault="00000000">
      <w:pPr>
        <w:spacing w:after="0" w:line="360" w:lineRule="auto"/>
        <w:ind w:left="708"/>
        <w:rPr>
          <w:rFonts w:ascii="Verdana" w:eastAsia="Verdana" w:hAnsi="Verdana" w:cs="Verdana"/>
          <w:sz w:val="24"/>
          <w:szCs w:val="24"/>
        </w:rPr>
      </w:pPr>
      <w:r>
        <w:rPr>
          <w:rFonts w:ascii="Verdana" w:eastAsia="Verdana" w:hAnsi="Verdana" w:cs="Verdana"/>
          <w:sz w:val="24"/>
          <w:szCs w:val="24"/>
        </w:rPr>
        <w:t>Weeping, crying, wailing, all displays of emotional intensity are feared in the classroom because they upset the hierarchy that would have us assume that the mind should always have dominion over the body and spirit. We are called to learn beyond the boundary of language, of words, where we share common understanding. We are called to learn from our senses, from our feeling states, and find their ways of knowing. If we allow for the possibility of tears, then an insurrection of subjugated knowledge may occur (hooks, 2010, p. 83).</w:t>
      </w:r>
    </w:p>
    <w:p w14:paraId="00000050" w14:textId="77777777" w:rsidR="00B246FA" w:rsidRDefault="00000000">
      <w:pPr>
        <w:spacing w:after="0" w:line="360" w:lineRule="auto"/>
        <w:ind w:firstLine="720"/>
        <w:rPr>
          <w:rFonts w:ascii="Verdana" w:eastAsia="Verdana" w:hAnsi="Verdana" w:cs="Verdana"/>
          <w:sz w:val="24"/>
          <w:szCs w:val="24"/>
        </w:rPr>
      </w:pPr>
      <w:r>
        <w:rPr>
          <w:rFonts w:ascii="Verdana" w:eastAsia="Verdana" w:hAnsi="Verdana" w:cs="Verdana"/>
          <w:sz w:val="24"/>
          <w:szCs w:val="24"/>
        </w:rPr>
        <w:t xml:space="preserve">Consequently, when implementing the planned activities in two groups was challenging, a new activity was introduced: ‘May I visit you?’ This activity garnered interest from the children and aimed to explore the concept of consent in interpersonal relationships, focusing on the notions </w:t>
      </w:r>
      <w:r>
        <w:rPr>
          <w:rFonts w:ascii="Verdana" w:eastAsia="Verdana" w:hAnsi="Verdana" w:cs="Verdana"/>
          <w:sz w:val="24"/>
          <w:szCs w:val="24"/>
        </w:rPr>
        <w:lastRenderedPageBreak/>
        <w:t xml:space="preserve">of body and space. The objective was to make tangible the significance of exchanging and listening to one another’s limits and desires through interactive play, fostering reflection on consent within relationships. </w:t>
      </w:r>
    </w:p>
    <w:p w14:paraId="00000051" w14:textId="77777777" w:rsidR="00B246FA" w:rsidRDefault="00000000">
      <w:pPr>
        <w:spacing w:after="0" w:line="360" w:lineRule="auto"/>
        <w:ind w:firstLine="720"/>
        <w:rPr>
          <w:rFonts w:ascii="Verdana" w:eastAsia="Verdana" w:hAnsi="Verdana" w:cs="Verdana"/>
          <w:sz w:val="24"/>
          <w:szCs w:val="24"/>
        </w:rPr>
      </w:pPr>
      <w:r>
        <w:rPr>
          <w:rFonts w:ascii="Verdana" w:eastAsia="Verdana" w:hAnsi="Verdana" w:cs="Verdana"/>
          <w:sz w:val="24"/>
          <w:szCs w:val="24"/>
        </w:rPr>
        <w:t xml:space="preserve">To begin, we initiated the workshop with an “icebreaker” activity, prompting the group to observe their surroundings. We posed questions such as, “Do you think your classroom is big or small?” “Are there many objects inside the classroom?” and “Do you find it easy or hard moving around the classroom?” Subsequently, we suggested the group engage in a brief exercise, walking calmly around the room for a few minutes without making physical contact. </w:t>
      </w:r>
    </w:p>
    <w:p w14:paraId="00000052" w14:textId="77777777" w:rsidR="00B246FA" w:rsidRDefault="00000000">
      <w:pPr>
        <w:spacing w:after="0" w:line="360" w:lineRule="auto"/>
        <w:ind w:firstLine="720"/>
        <w:rPr>
          <w:rFonts w:ascii="Verdana" w:eastAsia="Verdana" w:hAnsi="Verdana" w:cs="Verdana"/>
          <w:sz w:val="24"/>
          <w:szCs w:val="24"/>
        </w:rPr>
      </w:pPr>
      <w:r>
        <w:rPr>
          <w:rFonts w:ascii="Verdana" w:eastAsia="Verdana" w:hAnsi="Verdana" w:cs="Verdana"/>
          <w:sz w:val="24"/>
          <w:szCs w:val="24"/>
        </w:rPr>
        <w:t>Next, we organised the room to create an open space on the floor suitable for the activity. Pieces of paper were randomly distributed in the shapes of squares and circles. The group was then divided, and squares were outlined on the floor with duct tape. Each child assigned a square was instructed to occupy one of the designated spaces outlined to resemble houses or school desks, serving as their individual territories. Those who received circles were designated as “visitors,” allowed to enter the squares upon requesting permission and being welcomed. The children were given a few minutes to play, and after a few rounds, they were asked to gather in a circle on the floor and depict their feelings about the experience through drawing.</w:t>
      </w:r>
    </w:p>
    <w:p w14:paraId="00000053" w14:textId="77777777" w:rsidR="00B246FA" w:rsidRDefault="00000000">
      <w:pPr>
        <w:spacing w:after="0" w:line="360" w:lineRule="auto"/>
        <w:ind w:firstLine="720"/>
        <w:rPr>
          <w:rFonts w:ascii="Verdana" w:eastAsia="Verdana" w:hAnsi="Verdana" w:cs="Verdana"/>
          <w:sz w:val="24"/>
          <w:szCs w:val="24"/>
        </w:rPr>
      </w:pPr>
      <w:r>
        <w:rPr>
          <w:rFonts w:ascii="Verdana" w:eastAsia="Verdana" w:hAnsi="Verdana" w:cs="Verdana"/>
          <w:sz w:val="24"/>
          <w:szCs w:val="24"/>
        </w:rPr>
        <w:t xml:space="preserve">This activity was developed following a team discussion on the phenomena of conflicts and physical altercations among children, often involving non-consensual actions and physical contact. We recognised addressing the concept of consent could contribute to conversations about these conflicts. While we acknowledge that consent is typically communicated verbally, we observed that, with younger children, it was necessary to engage collectively with their bodies to establish a deeper understanding of the topic we aimed to address. </w:t>
      </w:r>
    </w:p>
    <w:p w14:paraId="00000054" w14:textId="77777777" w:rsidR="00B246FA" w:rsidRDefault="00000000">
      <w:pPr>
        <w:spacing w:after="0" w:line="360" w:lineRule="auto"/>
        <w:ind w:firstLine="720"/>
        <w:rPr>
          <w:rFonts w:ascii="Verdana" w:eastAsia="Verdana" w:hAnsi="Verdana" w:cs="Verdana"/>
          <w:sz w:val="24"/>
          <w:szCs w:val="24"/>
        </w:rPr>
      </w:pPr>
      <w:r>
        <w:rPr>
          <w:rFonts w:ascii="Verdana" w:eastAsia="Verdana" w:hAnsi="Verdana" w:cs="Verdana"/>
          <w:sz w:val="24"/>
          <w:szCs w:val="24"/>
        </w:rPr>
        <w:t xml:space="preserve">Conducting the workshop proved challenging, primarily due to the facilitators’ struggle to be heard. Upon explaining the pieces of paper would be drawn randomly, the children became enthusiastic and </w:t>
      </w:r>
      <w:r>
        <w:rPr>
          <w:rFonts w:ascii="Verdana" w:eastAsia="Verdana" w:hAnsi="Verdana" w:cs="Verdana"/>
          <w:sz w:val="24"/>
          <w:szCs w:val="24"/>
        </w:rPr>
        <w:lastRenderedPageBreak/>
        <w:t xml:space="preserve">instigated with the activities prematurely, speaking over the facilitators as we had not explained initially how the activity would be developed. Challenges arose when establishing a queue for drawing the circle or square papers one at a time. The children would bump into each other, push, and engage in playful teasing, speaking loudly and displaying a lack of attention, although they were curious and excited. </w:t>
      </w:r>
    </w:p>
    <w:p w14:paraId="00000055" w14:textId="77777777" w:rsidR="00B246FA" w:rsidRDefault="00000000">
      <w:pPr>
        <w:spacing w:after="0" w:line="360" w:lineRule="auto"/>
        <w:ind w:firstLine="720"/>
        <w:rPr>
          <w:rFonts w:ascii="Verdana" w:eastAsia="Verdana" w:hAnsi="Verdana" w:cs="Verdana"/>
          <w:sz w:val="24"/>
          <w:szCs w:val="24"/>
        </w:rPr>
      </w:pPr>
      <w:r>
        <w:rPr>
          <w:rFonts w:ascii="Verdana" w:eastAsia="Verdana" w:hAnsi="Verdana" w:cs="Verdana"/>
          <w:sz w:val="24"/>
          <w:szCs w:val="24"/>
        </w:rPr>
        <w:t xml:space="preserve">Despite repeated attempts by the team to speak loudly, interventions proved ineffective. At one point, a child in the group attempted to address the noise level and requested silence, but their efforts were unsuccessful. This resulted in their frustration and a slight irritation when they realised that they, too, were not being heard. </w:t>
      </w:r>
    </w:p>
    <w:p w14:paraId="00000056" w14:textId="77777777" w:rsidR="00B246FA" w:rsidRDefault="00000000">
      <w:pPr>
        <w:spacing w:after="0" w:line="360" w:lineRule="auto"/>
        <w:ind w:firstLine="720"/>
        <w:rPr>
          <w:rFonts w:ascii="Verdana" w:eastAsia="Verdana" w:hAnsi="Verdana" w:cs="Verdana"/>
          <w:sz w:val="24"/>
          <w:szCs w:val="24"/>
        </w:rPr>
      </w:pPr>
      <w:r>
        <w:rPr>
          <w:rFonts w:ascii="Verdana" w:eastAsia="Verdana" w:hAnsi="Verdana" w:cs="Verdana"/>
          <w:sz w:val="24"/>
          <w:szCs w:val="24"/>
        </w:rPr>
        <w:t xml:space="preserve">Despite the frustrations and challenges encountered during the activity, several interesting aspects emerged. Children began to visit each other’s squares, displaying enthusiasm for the dynamic as a game and as a way to reimagine the classroom space. They moved around the squares, pretending to knock on imaginary doors and requesting entry. Once inside, they typically played with each other inside the squares. For instance, one student consistently declined entry to nearly everyone except her best friend, while another welcomed visitors to her square with an imaginary afternoon tea. The activity sparked the children’s interest as it defined their individual spaces and allowed them to express themselves within a social context, including boundary infringement, making the children visibly uncomfortable. </w:t>
      </w:r>
    </w:p>
    <w:p w14:paraId="00000057" w14:textId="77777777" w:rsidR="00B246FA" w:rsidRDefault="00000000">
      <w:pPr>
        <w:spacing w:after="0" w:line="360" w:lineRule="auto"/>
        <w:ind w:firstLine="720"/>
        <w:rPr>
          <w:rFonts w:ascii="Verdana" w:eastAsia="Verdana" w:hAnsi="Verdana" w:cs="Verdana"/>
          <w:sz w:val="24"/>
          <w:szCs w:val="24"/>
        </w:rPr>
      </w:pPr>
      <w:r>
        <w:rPr>
          <w:rFonts w:ascii="Verdana" w:eastAsia="Verdana" w:hAnsi="Verdana" w:cs="Verdana"/>
          <w:sz w:val="24"/>
          <w:szCs w:val="24"/>
        </w:rPr>
        <w:t xml:space="preserve">Reflecting on the outcomes of this activity sheds light on the effects and implications it has on the observed individuality within the group. The concepts of collectiveness and intersubjective relationships are highlighted here through the lens of boundaries and their transgressions, which seem unstable. The absence of visitors in the activity was not something desired but rather something that caused sadness and discontent. This indicates that, despite the individualisation process caused by the pandemic and its influence on the dynamics between children and their interactions with the school environment, children still </w:t>
      </w:r>
      <w:r>
        <w:rPr>
          <w:rFonts w:ascii="Verdana" w:eastAsia="Verdana" w:hAnsi="Verdana" w:cs="Verdana"/>
          <w:sz w:val="24"/>
          <w:szCs w:val="24"/>
        </w:rPr>
        <w:lastRenderedPageBreak/>
        <w:t>have a clear desire to establish intersubjective exchanges among themselves, regardless of their difficulties. Recognising this distinction is crucial for several questions and provides insights into children’s wish to coexist and exchange within the school setting.</w:t>
      </w:r>
    </w:p>
    <w:p w14:paraId="00000058" w14:textId="77777777" w:rsidR="00B246FA" w:rsidRDefault="00000000">
      <w:pPr>
        <w:spacing w:after="0" w:line="360" w:lineRule="auto"/>
        <w:ind w:firstLine="720"/>
        <w:rPr>
          <w:rFonts w:ascii="Verdana" w:eastAsia="Verdana" w:hAnsi="Verdana" w:cs="Verdana"/>
          <w:sz w:val="24"/>
          <w:szCs w:val="24"/>
        </w:rPr>
      </w:pPr>
      <w:r>
        <w:rPr>
          <w:rFonts w:ascii="Verdana" w:eastAsia="Verdana" w:hAnsi="Verdana" w:cs="Verdana"/>
          <w:sz w:val="24"/>
          <w:szCs w:val="24"/>
        </w:rPr>
        <w:t>It was possible to observe the impact of social distancing and the remote learning period on the school subjectivation process of the participant children. Some of the activities, such as ‘Can I visit you?’, raised questions for the research team about the workshop's possible adaptive or disciplinary dimension. However, in the fieldwork analysis, we realised that in pre-pandemic experiences the workshops benefited from the school normativity embodied by students. Activities that temporarily suspended school norms or played with their subversion were possible and exciting because they relied on these subjectively learnt and incorporated disciplinary norms. However, the scenario found in the schools after returning in person differed. The unbearable presence of the other and the lack of spatial boundaries required the team to deal with conflicts and tensions in the classroom to promote a common ground, shared and mediated by naming and consent so that the encounter with otherness was possible</w:t>
      </w:r>
      <w:r>
        <w:rPr>
          <w:rFonts w:ascii="Verdana" w:eastAsia="Verdana" w:hAnsi="Verdana" w:cs="Verdana"/>
          <w:sz w:val="24"/>
          <w:szCs w:val="24"/>
          <w:vertAlign w:val="superscript"/>
        </w:rPr>
        <w:footnoteReference w:id="5"/>
      </w:r>
      <w:r>
        <w:rPr>
          <w:rFonts w:ascii="Verdana" w:eastAsia="Verdana" w:hAnsi="Verdana" w:cs="Verdana"/>
          <w:sz w:val="24"/>
          <w:szCs w:val="24"/>
        </w:rPr>
        <w:t>.</w:t>
      </w:r>
    </w:p>
    <w:p w14:paraId="00000059" w14:textId="77777777" w:rsidR="00B246FA" w:rsidRDefault="00B246FA">
      <w:pPr>
        <w:spacing w:after="0" w:line="360" w:lineRule="auto"/>
        <w:ind w:firstLine="720"/>
        <w:rPr>
          <w:rFonts w:ascii="Verdana" w:eastAsia="Verdana" w:hAnsi="Verdana" w:cs="Verdana"/>
          <w:sz w:val="24"/>
          <w:szCs w:val="24"/>
        </w:rPr>
      </w:pPr>
    </w:p>
    <w:p w14:paraId="0000005A" w14:textId="77777777" w:rsidR="00B246FA" w:rsidRDefault="00000000">
      <w:pPr>
        <w:spacing w:after="0" w:line="360" w:lineRule="auto"/>
        <w:ind w:firstLine="720"/>
        <w:rPr>
          <w:rFonts w:ascii="Verdana" w:eastAsia="Verdana" w:hAnsi="Verdana" w:cs="Verdana"/>
          <w:b/>
          <w:sz w:val="24"/>
          <w:szCs w:val="24"/>
        </w:rPr>
      </w:pPr>
      <w:r>
        <w:rPr>
          <w:rFonts w:ascii="Verdana" w:eastAsia="Verdana" w:hAnsi="Verdana" w:cs="Verdana"/>
          <w:b/>
          <w:sz w:val="24"/>
          <w:szCs w:val="24"/>
        </w:rPr>
        <w:t>Final notes</w:t>
      </w:r>
    </w:p>
    <w:p w14:paraId="0000005B" w14:textId="77777777" w:rsidR="00B246FA" w:rsidRDefault="00B246FA">
      <w:pPr>
        <w:spacing w:after="0" w:line="360" w:lineRule="auto"/>
        <w:ind w:firstLine="720"/>
        <w:rPr>
          <w:rFonts w:ascii="Verdana" w:eastAsia="Verdana" w:hAnsi="Verdana" w:cs="Verdana"/>
          <w:sz w:val="24"/>
          <w:szCs w:val="24"/>
        </w:rPr>
      </w:pPr>
    </w:p>
    <w:p w14:paraId="0000005C" w14:textId="77777777" w:rsidR="00B246FA" w:rsidRDefault="00000000">
      <w:pPr>
        <w:spacing w:after="0" w:line="360" w:lineRule="auto"/>
        <w:ind w:firstLine="720"/>
        <w:rPr>
          <w:rFonts w:ascii="Verdana" w:eastAsia="Verdana" w:hAnsi="Verdana" w:cs="Verdana"/>
          <w:sz w:val="24"/>
          <w:szCs w:val="24"/>
        </w:rPr>
      </w:pPr>
      <w:r>
        <w:rPr>
          <w:rFonts w:ascii="Verdana" w:eastAsia="Verdana" w:hAnsi="Verdana" w:cs="Verdana"/>
          <w:sz w:val="24"/>
          <w:szCs w:val="24"/>
        </w:rPr>
        <w:t>This paper analysed the context of returning to school after the pandemic in two elementary schools. Due to the evolving nature of the field, it was necessary to recalibrate the initially planned activities for working with the groups. We opted for the research-intervention methodology, which facilitates the transformation of the field into practice, enabling reflection on daily life micropolitics and fostering cooperative production (Rocha &amp; Aguiar, 2003).</w:t>
      </w:r>
    </w:p>
    <w:p w14:paraId="0000005D" w14:textId="77777777" w:rsidR="00B246FA" w:rsidRDefault="00000000">
      <w:pPr>
        <w:spacing w:after="0" w:line="360" w:lineRule="auto"/>
        <w:ind w:firstLine="720"/>
        <w:rPr>
          <w:rFonts w:ascii="Verdana" w:eastAsia="Verdana" w:hAnsi="Verdana" w:cs="Verdana"/>
          <w:sz w:val="24"/>
          <w:szCs w:val="24"/>
        </w:rPr>
      </w:pPr>
      <w:r>
        <w:rPr>
          <w:rFonts w:ascii="Verdana" w:eastAsia="Verdana" w:hAnsi="Verdana" w:cs="Verdana"/>
          <w:sz w:val="24"/>
          <w:szCs w:val="24"/>
        </w:rPr>
        <w:lastRenderedPageBreak/>
        <w:t xml:space="preserve">We recognised that one of the most significant effects of the pandemic on children and their intersubjective relationships has been the challenge of achieving collective coexistence among peers and within the school environment. Statements such as “I cannot stand school” echoed what we termed as collective unbearability. The individualistic lifestyle, not necessarily isolating, is characterised by an alleged freedom not bound by prescribed knowledge. However, the lack of practical application ultimately leads to a frustrating school experience, a sentiment often revealed during the workshops. </w:t>
      </w:r>
    </w:p>
    <w:p w14:paraId="0000005E" w14:textId="77777777" w:rsidR="00B246FA" w:rsidRDefault="00000000">
      <w:pPr>
        <w:spacing w:after="0" w:line="360" w:lineRule="auto"/>
        <w:ind w:firstLine="720"/>
        <w:rPr>
          <w:rFonts w:ascii="Verdana" w:eastAsia="Verdana" w:hAnsi="Verdana" w:cs="Verdana"/>
          <w:sz w:val="24"/>
          <w:szCs w:val="24"/>
        </w:rPr>
      </w:pPr>
      <w:r>
        <w:rPr>
          <w:rFonts w:ascii="Verdana" w:eastAsia="Verdana" w:hAnsi="Verdana" w:cs="Verdana"/>
          <w:sz w:val="24"/>
          <w:szCs w:val="24"/>
        </w:rPr>
        <w:t>The workshops provided opportunities for children to confront frustration, mainly stemming from experiences of unbearability and aggression within the group. We emphasise the diverse interpretations of children’s aggressiveness, recognising that social markers of difference affect and position them differently within the group. Therefore, the challenge lies in sustaining the complexity of these dynamics in relationships without presuming symmetry. It also involves creating space for dialogue that disrupts hierarchical learning, fostering the development of schools as environments characterised by diversity, care, and solidarity.</w:t>
      </w:r>
    </w:p>
    <w:p w14:paraId="0000005F" w14:textId="77777777" w:rsidR="00B246FA" w:rsidRDefault="00000000">
      <w:pPr>
        <w:spacing w:after="0" w:line="360" w:lineRule="auto"/>
        <w:ind w:firstLine="720"/>
        <w:rPr>
          <w:rFonts w:ascii="Verdana" w:eastAsia="Verdana" w:hAnsi="Verdana" w:cs="Verdana"/>
          <w:sz w:val="24"/>
          <w:szCs w:val="24"/>
        </w:rPr>
      </w:pPr>
      <w:r>
        <w:rPr>
          <w:rFonts w:ascii="Verdana" w:eastAsia="Verdana" w:hAnsi="Verdana" w:cs="Verdana"/>
          <w:sz w:val="24"/>
          <w:szCs w:val="24"/>
        </w:rPr>
        <w:t xml:space="preserve">Throughout the project, the team encountered challenges rooted in adult-centred approaches to field activities, which aimed to control the subjectivation processes of children. In moments of apparent chaos and conflict, the intensity of children’s bodily expressions placed us on a tightrope between assuming responsibility and trusting their ability to establish and recognise their boundaries. Sustaining mutual trust in the process of children’s subjectivation and approaching it critically required ongoing efforts to resist the tendency to psychologise childhood and the inclination to label experiences perceived by children, mainly when adults assume the role of naming these processes. Analysing the field material from the perspective of childhood studies, and in particular, in dialogue with Child as method (Burman, 2019, 2022), we challenge developmentalist or simplifying readings of the effects of social distancing </w:t>
      </w:r>
      <w:r>
        <w:rPr>
          <w:rFonts w:ascii="Verdana" w:eastAsia="Verdana" w:hAnsi="Verdana" w:cs="Verdana"/>
          <w:sz w:val="24"/>
          <w:szCs w:val="24"/>
        </w:rPr>
        <w:lastRenderedPageBreak/>
        <w:t>and withdrawal from school for Brazilian children in COVID-19 pandemic. With this analysis, we hope to contribute to the debate on educational practices that take students (children and adolescents) in their social and singular dimensions and focus on the collectivisation of spaces and bounds within schools.</w:t>
      </w:r>
    </w:p>
    <w:p w14:paraId="00000060" w14:textId="77777777" w:rsidR="00B246FA" w:rsidRDefault="00B246FA">
      <w:pPr>
        <w:spacing w:after="0" w:line="360" w:lineRule="auto"/>
        <w:ind w:firstLine="720"/>
        <w:rPr>
          <w:rFonts w:ascii="Verdana" w:eastAsia="Verdana" w:hAnsi="Verdana" w:cs="Verdana"/>
          <w:sz w:val="24"/>
          <w:szCs w:val="24"/>
        </w:rPr>
      </w:pPr>
    </w:p>
    <w:p w14:paraId="00000061" w14:textId="77777777" w:rsidR="00B246FA" w:rsidRDefault="00000000">
      <w:pPr>
        <w:spacing w:after="0" w:line="360" w:lineRule="auto"/>
        <w:ind w:firstLine="720"/>
        <w:rPr>
          <w:rFonts w:ascii="Verdana" w:eastAsia="Verdana" w:hAnsi="Verdana" w:cs="Verdana"/>
          <w:sz w:val="24"/>
          <w:szCs w:val="24"/>
        </w:rPr>
      </w:pPr>
      <w:r>
        <w:rPr>
          <w:rFonts w:ascii="Verdana" w:eastAsia="Verdana" w:hAnsi="Verdana" w:cs="Verdana"/>
          <w:b/>
          <w:sz w:val="24"/>
          <w:szCs w:val="24"/>
        </w:rPr>
        <w:t>References</w:t>
      </w:r>
    </w:p>
    <w:p w14:paraId="00000062" w14:textId="77777777" w:rsidR="00B246FA" w:rsidRDefault="00B246FA">
      <w:pPr>
        <w:spacing w:after="0" w:line="360" w:lineRule="auto"/>
        <w:rPr>
          <w:rFonts w:ascii="Verdana" w:eastAsia="Verdana" w:hAnsi="Verdana" w:cs="Verdana"/>
          <w:sz w:val="24"/>
          <w:szCs w:val="24"/>
        </w:rPr>
      </w:pPr>
    </w:p>
    <w:p w14:paraId="00000063" w14:textId="77777777" w:rsidR="00B246FA" w:rsidRDefault="00000000">
      <w:pPr>
        <w:spacing w:after="240" w:line="360" w:lineRule="auto"/>
        <w:ind w:left="567"/>
        <w:rPr>
          <w:rFonts w:ascii="Verdana" w:eastAsia="Verdana" w:hAnsi="Verdana" w:cs="Verdana"/>
          <w:sz w:val="24"/>
          <w:szCs w:val="24"/>
        </w:rPr>
      </w:pPr>
      <w:r>
        <w:rPr>
          <w:rFonts w:ascii="Verdana" w:eastAsia="Verdana" w:hAnsi="Verdana" w:cs="Verdana"/>
          <w:sz w:val="24"/>
          <w:szCs w:val="24"/>
        </w:rPr>
        <w:t xml:space="preserve">Agência Brasil. (2024, 22 de fevereiro). MEC e Inep divulgam resultados do Censo Escolar 2023. Ministério da Educação. </w:t>
      </w:r>
      <w:hyperlink r:id="rId7">
        <w:r>
          <w:rPr>
            <w:rFonts w:ascii="Verdana" w:eastAsia="Verdana" w:hAnsi="Verdana" w:cs="Verdana"/>
            <w:sz w:val="24"/>
            <w:szCs w:val="24"/>
          </w:rPr>
          <w:t>https://www.gov.br/inep/pt-br/assuntos/noticias/censo-escolar/mec-e-inep-divulgam-resultados-do-censo-escolar-2023</w:t>
        </w:r>
      </w:hyperlink>
      <w:r>
        <w:rPr>
          <w:rFonts w:ascii="Verdana" w:eastAsia="Verdana" w:hAnsi="Verdana" w:cs="Verdana"/>
          <w:sz w:val="24"/>
          <w:szCs w:val="24"/>
        </w:rPr>
        <w:t xml:space="preserve"> </w:t>
      </w:r>
    </w:p>
    <w:p w14:paraId="00000064" w14:textId="77777777" w:rsidR="00B246FA" w:rsidRDefault="00000000">
      <w:pPr>
        <w:spacing w:after="240" w:line="360" w:lineRule="auto"/>
        <w:ind w:left="567"/>
        <w:rPr>
          <w:rFonts w:ascii="Verdana" w:eastAsia="Verdana" w:hAnsi="Verdana" w:cs="Verdana"/>
          <w:sz w:val="24"/>
          <w:szCs w:val="24"/>
        </w:rPr>
      </w:pPr>
      <w:r>
        <w:rPr>
          <w:rFonts w:ascii="Verdana" w:eastAsia="Verdana" w:hAnsi="Verdana" w:cs="Verdana"/>
          <w:sz w:val="24"/>
          <w:szCs w:val="24"/>
        </w:rPr>
        <w:t xml:space="preserve">Burman, E. (2008). </w:t>
      </w:r>
      <w:r>
        <w:rPr>
          <w:rFonts w:ascii="Verdana" w:eastAsia="Verdana" w:hAnsi="Verdana" w:cs="Verdana"/>
          <w:i/>
          <w:sz w:val="24"/>
          <w:szCs w:val="24"/>
        </w:rPr>
        <w:t xml:space="preserve">Deconstructing Developmental Psychology. </w:t>
      </w:r>
      <w:r>
        <w:rPr>
          <w:rFonts w:ascii="Verdana" w:eastAsia="Verdana" w:hAnsi="Verdana" w:cs="Verdana"/>
          <w:sz w:val="24"/>
          <w:szCs w:val="24"/>
        </w:rPr>
        <w:t xml:space="preserve">Routledge. </w:t>
      </w:r>
    </w:p>
    <w:p w14:paraId="00000065" w14:textId="77777777" w:rsidR="00B246FA" w:rsidRDefault="00000000">
      <w:pPr>
        <w:spacing w:after="240" w:line="360" w:lineRule="auto"/>
        <w:ind w:left="567"/>
        <w:rPr>
          <w:rFonts w:ascii="Verdana" w:eastAsia="Verdana" w:hAnsi="Verdana" w:cs="Verdana"/>
          <w:sz w:val="24"/>
          <w:szCs w:val="24"/>
        </w:rPr>
      </w:pPr>
      <w:r>
        <w:rPr>
          <w:rFonts w:ascii="Verdana" w:eastAsia="Verdana" w:hAnsi="Verdana" w:cs="Verdana"/>
          <w:sz w:val="24"/>
          <w:szCs w:val="24"/>
        </w:rPr>
        <w:t xml:space="preserve">Burman, E. (2019). </w:t>
      </w:r>
      <w:r>
        <w:rPr>
          <w:rFonts w:ascii="Verdana" w:eastAsia="Verdana" w:hAnsi="Verdana" w:cs="Verdana"/>
          <w:i/>
          <w:sz w:val="24"/>
          <w:szCs w:val="24"/>
        </w:rPr>
        <w:t>Fanon, education, action: child as method</w:t>
      </w:r>
      <w:r>
        <w:rPr>
          <w:rFonts w:ascii="Verdana" w:eastAsia="Verdana" w:hAnsi="Verdana" w:cs="Verdana"/>
          <w:sz w:val="24"/>
          <w:szCs w:val="24"/>
        </w:rPr>
        <w:t xml:space="preserve">. Routledge. </w:t>
      </w:r>
    </w:p>
    <w:p w14:paraId="00000066" w14:textId="77777777" w:rsidR="00B246FA" w:rsidRDefault="00000000">
      <w:pPr>
        <w:spacing w:after="240" w:line="360" w:lineRule="auto"/>
        <w:ind w:left="567"/>
        <w:rPr>
          <w:rFonts w:ascii="Verdana" w:eastAsia="Verdana" w:hAnsi="Verdana" w:cs="Verdana"/>
          <w:sz w:val="24"/>
          <w:szCs w:val="24"/>
        </w:rPr>
      </w:pPr>
      <w:r>
        <w:rPr>
          <w:rFonts w:ascii="Verdana" w:eastAsia="Verdana" w:hAnsi="Verdana" w:cs="Verdana"/>
          <w:sz w:val="24"/>
          <w:szCs w:val="24"/>
        </w:rPr>
        <w:t xml:space="preserve">Burman, E. (2022). Child as Method as a Resource to Interrogate Crises, Antagonisms and Agencies. </w:t>
      </w:r>
      <w:r>
        <w:rPr>
          <w:rFonts w:ascii="Verdana" w:eastAsia="Verdana" w:hAnsi="Verdana" w:cs="Verdana"/>
          <w:i/>
          <w:sz w:val="24"/>
          <w:szCs w:val="24"/>
        </w:rPr>
        <w:t>Estudos e Pesquisas em Psicologia</w:t>
      </w:r>
      <w:r>
        <w:rPr>
          <w:rFonts w:ascii="Verdana" w:eastAsia="Verdana" w:hAnsi="Verdana" w:cs="Verdana"/>
          <w:sz w:val="24"/>
          <w:szCs w:val="24"/>
        </w:rPr>
        <w:t xml:space="preserve">, 22(4). </w:t>
      </w:r>
      <w:hyperlink r:id="rId8">
        <w:r>
          <w:rPr>
            <w:rFonts w:ascii="Verdana" w:eastAsia="Verdana" w:hAnsi="Verdana" w:cs="Verdana"/>
            <w:sz w:val="24"/>
            <w:szCs w:val="24"/>
          </w:rPr>
          <w:t>https://doi.org/10.12957/epp.2022.71744</w:t>
        </w:r>
      </w:hyperlink>
      <w:r>
        <w:rPr>
          <w:rFonts w:ascii="Verdana" w:eastAsia="Verdana" w:hAnsi="Verdana" w:cs="Verdana"/>
          <w:sz w:val="24"/>
          <w:szCs w:val="24"/>
        </w:rPr>
        <w:t xml:space="preserve"> </w:t>
      </w:r>
    </w:p>
    <w:p w14:paraId="00000067" w14:textId="77777777" w:rsidR="00B246FA" w:rsidRDefault="00000000">
      <w:pPr>
        <w:spacing w:after="240" w:line="360" w:lineRule="auto"/>
        <w:ind w:left="567"/>
        <w:rPr>
          <w:rFonts w:ascii="Verdana" w:eastAsia="Verdana" w:hAnsi="Verdana" w:cs="Verdana"/>
          <w:sz w:val="24"/>
          <w:szCs w:val="24"/>
        </w:rPr>
      </w:pPr>
      <w:r>
        <w:rPr>
          <w:rFonts w:ascii="Verdana" w:eastAsia="Verdana" w:hAnsi="Verdana" w:cs="Verdana"/>
          <w:sz w:val="24"/>
          <w:szCs w:val="24"/>
        </w:rPr>
        <w:t xml:space="preserve">Buss-Simão, M., &amp; Lessa, J. S. (2020). Um olhar para o(s) corpo(s) das crianças em tempos de pandemia. </w:t>
      </w:r>
      <w:r>
        <w:rPr>
          <w:rFonts w:ascii="Verdana" w:eastAsia="Verdana" w:hAnsi="Verdana" w:cs="Verdana"/>
          <w:i/>
          <w:sz w:val="24"/>
          <w:szCs w:val="24"/>
        </w:rPr>
        <w:t>Zero-a-Seis</w:t>
      </w:r>
      <w:r>
        <w:rPr>
          <w:rFonts w:ascii="Verdana" w:eastAsia="Verdana" w:hAnsi="Verdana" w:cs="Verdana"/>
          <w:sz w:val="24"/>
          <w:szCs w:val="24"/>
        </w:rPr>
        <w:t xml:space="preserve">, </w:t>
      </w:r>
      <w:r>
        <w:rPr>
          <w:rFonts w:ascii="Verdana" w:eastAsia="Verdana" w:hAnsi="Verdana" w:cs="Verdana"/>
          <w:i/>
          <w:sz w:val="24"/>
          <w:szCs w:val="24"/>
        </w:rPr>
        <w:t>22</w:t>
      </w:r>
      <w:r>
        <w:rPr>
          <w:rFonts w:ascii="Verdana" w:eastAsia="Verdana" w:hAnsi="Verdana" w:cs="Verdana"/>
          <w:sz w:val="24"/>
          <w:szCs w:val="24"/>
        </w:rPr>
        <w:t xml:space="preserve">(Especial). </w:t>
      </w:r>
      <w:hyperlink r:id="rId9">
        <w:r>
          <w:rPr>
            <w:rFonts w:ascii="Verdana" w:eastAsia="Verdana" w:hAnsi="Verdana" w:cs="Verdana"/>
            <w:sz w:val="24"/>
            <w:szCs w:val="24"/>
          </w:rPr>
          <w:t>https://doi.org/10.5007/1980-4512.2020v22nespp1420</w:t>
        </w:r>
      </w:hyperlink>
      <w:r>
        <w:rPr>
          <w:rFonts w:ascii="Verdana" w:eastAsia="Verdana" w:hAnsi="Verdana" w:cs="Verdana"/>
          <w:sz w:val="24"/>
          <w:szCs w:val="24"/>
        </w:rPr>
        <w:t xml:space="preserve"> </w:t>
      </w:r>
    </w:p>
    <w:p w14:paraId="00000068" w14:textId="77777777" w:rsidR="00B246FA" w:rsidRDefault="00000000">
      <w:pPr>
        <w:spacing w:after="240" w:line="360" w:lineRule="auto"/>
        <w:ind w:left="567"/>
        <w:rPr>
          <w:rFonts w:ascii="Verdana" w:eastAsia="Verdana" w:hAnsi="Verdana" w:cs="Verdana"/>
          <w:sz w:val="24"/>
          <w:szCs w:val="24"/>
        </w:rPr>
      </w:pPr>
      <w:r>
        <w:rPr>
          <w:rFonts w:ascii="Verdana" w:eastAsia="Verdana" w:hAnsi="Verdana" w:cs="Verdana"/>
          <w:sz w:val="24"/>
          <w:szCs w:val="24"/>
        </w:rPr>
        <w:t xml:space="preserve">Butler, J. (2005). </w:t>
      </w:r>
      <w:r>
        <w:rPr>
          <w:rFonts w:ascii="Verdana" w:eastAsia="Verdana" w:hAnsi="Verdana" w:cs="Verdana"/>
          <w:i/>
          <w:sz w:val="24"/>
          <w:szCs w:val="24"/>
        </w:rPr>
        <w:t>Giving an Account of Oneself</w:t>
      </w:r>
      <w:r>
        <w:rPr>
          <w:rFonts w:ascii="Verdana" w:eastAsia="Verdana" w:hAnsi="Verdana" w:cs="Verdana"/>
          <w:sz w:val="24"/>
          <w:szCs w:val="24"/>
        </w:rPr>
        <w:t>. Fordham University Press.</w:t>
      </w:r>
    </w:p>
    <w:p w14:paraId="00000069" w14:textId="77777777" w:rsidR="00B246FA" w:rsidRDefault="00000000">
      <w:pPr>
        <w:spacing w:after="240" w:line="360" w:lineRule="auto"/>
        <w:ind w:left="567"/>
        <w:rPr>
          <w:rFonts w:ascii="Verdana" w:eastAsia="Verdana" w:hAnsi="Verdana" w:cs="Verdana"/>
          <w:sz w:val="24"/>
          <w:szCs w:val="24"/>
        </w:rPr>
      </w:pPr>
      <w:r>
        <w:rPr>
          <w:rFonts w:ascii="Verdana" w:eastAsia="Verdana" w:hAnsi="Verdana" w:cs="Verdana"/>
          <w:sz w:val="24"/>
          <w:szCs w:val="24"/>
        </w:rPr>
        <w:t xml:space="preserve">Butler, J. (1997). </w:t>
      </w:r>
      <w:r>
        <w:rPr>
          <w:rFonts w:ascii="Verdana" w:eastAsia="Verdana" w:hAnsi="Verdana" w:cs="Verdana"/>
          <w:i/>
          <w:sz w:val="24"/>
          <w:szCs w:val="24"/>
        </w:rPr>
        <w:t>The Psychic Life of Power: Theories in Subjection</w:t>
      </w:r>
      <w:r>
        <w:rPr>
          <w:rFonts w:ascii="Verdana" w:eastAsia="Verdana" w:hAnsi="Verdana" w:cs="Verdana"/>
          <w:sz w:val="24"/>
          <w:szCs w:val="24"/>
        </w:rPr>
        <w:t>. Stanford University Press.</w:t>
      </w:r>
    </w:p>
    <w:p w14:paraId="0000006A" w14:textId="77777777" w:rsidR="00B246FA" w:rsidRDefault="00000000">
      <w:pPr>
        <w:spacing w:after="240" w:line="360" w:lineRule="auto"/>
        <w:ind w:left="567"/>
        <w:rPr>
          <w:rFonts w:ascii="Verdana" w:eastAsia="Verdana" w:hAnsi="Verdana" w:cs="Verdana"/>
          <w:sz w:val="24"/>
          <w:szCs w:val="24"/>
        </w:rPr>
      </w:pPr>
      <w:r>
        <w:rPr>
          <w:rFonts w:ascii="Verdana" w:eastAsia="Verdana" w:hAnsi="Verdana" w:cs="Verdana"/>
          <w:sz w:val="24"/>
          <w:szCs w:val="24"/>
        </w:rPr>
        <w:t xml:space="preserve">Castro, L. R., &amp; Besset, V. L. (Eds.). (2008). </w:t>
      </w:r>
      <w:r>
        <w:rPr>
          <w:rFonts w:ascii="Verdana" w:eastAsia="Verdana" w:hAnsi="Verdana" w:cs="Verdana"/>
          <w:i/>
          <w:sz w:val="24"/>
          <w:szCs w:val="24"/>
        </w:rPr>
        <w:t>Pesquisa-intervenção na infância e juventude</w:t>
      </w:r>
      <w:r>
        <w:rPr>
          <w:rFonts w:ascii="Verdana" w:eastAsia="Verdana" w:hAnsi="Verdana" w:cs="Verdana"/>
          <w:sz w:val="24"/>
          <w:szCs w:val="24"/>
        </w:rPr>
        <w:t xml:space="preserve">. Nau Editora. </w:t>
      </w:r>
    </w:p>
    <w:p w14:paraId="0000006B" w14:textId="77777777" w:rsidR="00B246FA" w:rsidRDefault="00000000">
      <w:pPr>
        <w:spacing w:after="240" w:line="360" w:lineRule="auto"/>
        <w:ind w:left="567"/>
        <w:rPr>
          <w:rFonts w:ascii="Verdana" w:eastAsia="Verdana" w:hAnsi="Verdana" w:cs="Verdana"/>
          <w:sz w:val="24"/>
          <w:szCs w:val="24"/>
        </w:rPr>
      </w:pPr>
      <w:r>
        <w:rPr>
          <w:rFonts w:ascii="Verdana" w:eastAsia="Verdana" w:hAnsi="Verdana" w:cs="Verdana"/>
          <w:sz w:val="24"/>
          <w:szCs w:val="24"/>
        </w:rPr>
        <w:lastRenderedPageBreak/>
        <w:t xml:space="preserve">Castro, L. R. (2008). Conhecer, transformar(-se) e aprender: pesquisando com crianças e jovens. In L. Castro &amp; V. Besset (Orgs.), </w:t>
      </w:r>
      <w:r>
        <w:rPr>
          <w:rFonts w:ascii="Verdana" w:eastAsia="Verdana" w:hAnsi="Verdana" w:cs="Verdana"/>
          <w:i/>
          <w:sz w:val="24"/>
          <w:szCs w:val="24"/>
        </w:rPr>
        <w:t xml:space="preserve">Pesquisa-intervenção na infância e juventude </w:t>
      </w:r>
      <w:r>
        <w:rPr>
          <w:rFonts w:ascii="Verdana" w:eastAsia="Verdana" w:hAnsi="Verdana" w:cs="Verdana"/>
          <w:sz w:val="24"/>
          <w:szCs w:val="24"/>
        </w:rPr>
        <w:t xml:space="preserve">(pp. 21–42). Nau Editora. </w:t>
      </w:r>
    </w:p>
    <w:p w14:paraId="0000006C" w14:textId="77777777" w:rsidR="00B246FA" w:rsidRDefault="00000000">
      <w:pPr>
        <w:spacing w:after="240" w:line="360" w:lineRule="auto"/>
        <w:ind w:left="567"/>
        <w:rPr>
          <w:rFonts w:ascii="Verdana" w:eastAsia="Verdana" w:hAnsi="Verdana" w:cs="Verdana"/>
          <w:sz w:val="24"/>
          <w:szCs w:val="24"/>
        </w:rPr>
      </w:pPr>
      <w:r>
        <w:rPr>
          <w:rFonts w:ascii="Verdana" w:eastAsia="Verdana" w:hAnsi="Verdana" w:cs="Verdana"/>
          <w:sz w:val="24"/>
          <w:szCs w:val="24"/>
        </w:rPr>
        <w:t xml:space="preserve">Castro, L. R., &amp; Mattos, A. R. (2009). O que é que a política tem a ver com a transformação de si? Considerações sobre a acção política a partir da juventude. </w:t>
      </w:r>
      <w:r>
        <w:rPr>
          <w:rFonts w:ascii="Verdana" w:eastAsia="Verdana" w:hAnsi="Verdana" w:cs="Verdana"/>
          <w:i/>
          <w:sz w:val="24"/>
          <w:szCs w:val="24"/>
        </w:rPr>
        <w:t>Análise Social</w:t>
      </w:r>
      <w:r>
        <w:rPr>
          <w:rFonts w:ascii="Verdana" w:eastAsia="Verdana" w:hAnsi="Verdana" w:cs="Verdana"/>
          <w:sz w:val="24"/>
          <w:szCs w:val="24"/>
        </w:rPr>
        <w:t xml:space="preserve">, </w:t>
      </w:r>
      <w:r>
        <w:rPr>
          <w:rFonts w:ascii="Verdana" w:eastAsia="Verdana" w:hAnsi="Verdana" w:cs="Verdana"/>
          <w:i/>
          <w:sz w:val="24"/>
          <w:szCs w:val="24"/>
        </w:rPr>
        <w:t>XLIV (193),</w:t>
      </w:r>
      <w:r>
        <w:rPr>
          <w:rFonts w:ascii="Verdana" w:eastAsia="Verdana" w:hAnsi="Verdana" w:cs="Verdana"/>
          <w:sz w:val="24"/>
          <w:szCs w:val="24"/>
        </w:rPr>
        <w:t xml:space="preserve"> 793-823. </w:t>
      </w:r>
    </w:p>
    <w:p w14:paraId="0000006D" w14:textId="77777777" w:rsidR="00B246FA" w:rsidRDefault="00000000">
      <w:pPr>
        <w:spacing w:after="240" w:line="360" w:lineRule="auto"/>
        <w:ind w:left="567"/>
        <w:rPr>
          <w:rFonts w:ascii="Verdana" w:eastAsia="Verdana" w:hAnsi="Verdana" w:cs="Verdana"/>
          <w:sz w:val="24"/>
          <w:szCs w:val="24"/>
        </w:rPr>
      </w:pPr>
      <w:r>
        <w:rPr>
          <w:rFonts w:ascii="Verdana" w:eastAsia="Verdana" w:hAnsi="Verdana" w:cs="Verdana"/>
          <w:sz w:val="24"/>
          <w:szCs w:val="24"/>
        </w:rPr>
        <w:t xml:space="preserve">Castro, L. R. (coord.) (2012). </w:t>
      </w:r>
      <w:r>
        <w:rPr>
          <w:rFonts w:ascii="Verdana" w:eastAsia="Verdana" w:hAnsi="Verdana" w:cs="Verdana"/>
          <w:i/>
          <w:sz w:val="24"/>
          <w:szCs w:val="24"/>
        </w:rPr>
        <w:t>Falatório: Participação e democracia na escola</w:t>
      </w:r>
      <w:r>
        <w:rPr>
          <w:rFonts w:ascii="Verdana" w:eastAsia="Verdana" w:hAnsi="Verdana" w:cs="Verdana"/>
          <w:sz w:val="24"/>
          <w:szCs w:val="24"/>
        </w:rPr>
        <w:t>. Contra-capa/Faperj.</w:t>
      </w:r>
    </w:p>
    <w:p w14:paraId="0000006E" w14:textId="77777777" w:rsidR="00B246FA" w:rsidRDefault="00000000">
      <w:pPr>
        <w:spacing w:after="240" w:line="360" w:lineRule="auto"/>
        <w:ind w:left="567"/>
        <w:rPr>
          <w:rFonts w:ascii="Verdana" w:eastAsia="Verdana" w:hAnsi="Verdana" w:cs="Verdana"/>
          <w:sz w:val="24"/>
          <w:szCs w:val="24"/>
        </w:rPr>
      </w:pPr>
      <w:r>
        <w:rPr>
          <w:rFonts w:ascii="Verdana" w:eastAsia="Verdana" w:hAnsi="Verdana" w:cs="Verdana"/>
          <w:sz w:val="24"/>
          <w:szCs w:val="24"/>
        </w:rPr>
        <w:t xml:space="preserve">Collins, P. H., &amp; Bilge, S. (2016). </w:t>
      </w:r>
      <w:r>
        <w:rPr>
          <w:rFonts w:ascii="Verdana" w:eastAsia="Verdana" w:hAnsi="Verdana" w:cs="Verdana"/>
          <w:i/>
          <w:sz w:val="24"/>
          <w:szCs w:val="24"/>
        </w:rPr>
        <w:t>Intersectionality</w:t>
      </w:r>
      <w:r>
        <w:rPr>
          <w:rFonts w:ascii="Verdana" w:eastAsia="Verdana" w:hAnsi="Verdana" w:cs="Verdana"/>
          <w:sz w:val="24"/>
          <w:szCs w:val="24"/>
        </w:rPr>
        <w:t>. Polity Press.</w:t>
      </w:r>
    </w:p>
    <w:p w14:paraId="0000006F" w14:textId="77777777" w:rsidR="00B246FA" w:rsidRDefault="00000000">
      <w:pPr>
        <w:spacing w:after="240" w:line="360" w:lineRule="auto"/>
        <w:ind w:left="567"/>
        <w:rPr>
          <w:rFonts w:ascii="Verdana" w:eastAsia="Verdana" w:hAnsi="Verdana" w:cs="Verdana"/>
          <w:sz w:val="24"/>
          <w:szCs w:val="24"/>
        </w:rPr>
      </w:pPr>
      <w:r>
        <w:rPr>
          <w:rFonts w:ascii="Verdana" w:eastAsia="Verdana" w:hAnsi="Verdana" w:cs="Verdana"/>
          <w:sz w:val="24"/>
          <w:szCs w:val="24"/>
        </w:rPr>
        <w:t xml:space="preserve">Felipe, J. (2000). Infância, gênero e sexualidade. </w:t>
      </w:r>
      <w:r>
        <w:rPr>
          <w:rFonts w:ascii="Verdana" w:eastAsia="Verdana" w:hAnsi="Verdana" w:cs="Verdana"/>
          <w:i/>
          <w:sz w:val="24"/>
          <w:szCs w:val="24"/>
        </w:rPr>
        <w:t>Educação &amp; Realidade. 25(1)</w:t>
      </w:r>
      <w:r>
        <w:rPr>
          <w:rFonts w:ascii="Verdana" w:eastAsia="Verdana" w:hAnsi="Verdana" w:cs="Verdana"/>
          <w:sz w:val="24"/>
          <w:szCs w:val="24"/>
        </w:rPr>
        <w:t xml:space="preserve">, 115-131. </w:t>
      </w:r>
      <w:hyperlink r:id="rId10">
        <w:r>
          <w:rPr>
            <w:rFonts w:ascii="Verdana" w:eastAsia="Verdana" w:hAnsi="Verdana" w:cs="Verdana"/>
            <w:sz w:val="24"/>
            <w:szCs w:val="24"/>
          </w:rPr>
          <w:t>https://www.seer.ufrgs.br/educacaoerealidade/article/viewFile/48688/30332</w:t>
        </w:r>
      </w:hyperlink>
      <w:r>
        <w:rPr>
          <w:rFonts w:ascii="Verdana" w:eastAsia="Verdana" w:hAnsi="Verdana" w:cs="Verdana"/>
          <w:sz w:val="24"/>
          <w:szCs w:val="24"/>
        </w:rPr>
        <w:t xml:space="preserve"> </w:t>
      </w:r>
    </w:p>
    <w:p w14:paraId="00000070" w14:textId="77777777" w:rsidR="00B246FA" w:rsidRDefault="00000000">
      <w:pPr>
        <w:spacing w:after="240" w:line="360" w:lineRule="auto"/>
        <w:ind w:left="567"/>
        <w:rPr>
          <w:rFonts w:ascii="Verdana" w:eastAsia="Verdana" w:hAnsi="Verdana" w:cs="Verdana"/>
          <w:sz w:val="24"/>
          <w:szCs w:val="24"/>
        </w:rPr>
      </w:pPr>
      <w:r>
        <w:rPr>
          <w:rFonts w:ascii="Verdana" w:eastAsia="Verdana" w:hAnsi="Verdana" w:cs="Verdana"/>
          <w:sz w:val="24"/>
          <w:szCs w:val="24"/>
        </w:rPr>
        <w:t>Ferrari, M. B. (2020). Feminismos descoloniales y discapacidad: hacia una conceptualización de la colonialidad de la capacidad.</w:t>
      </w:r>
      <w:r>
        <w:rPr>
          <w:rFonts w:ascii="Verdana" w:eastAsia="Verdana" w:hAnsi="Verdana" w:cs="Verdana"/>
          <w:i/>
          <w:sz w:val="24"/>
          <w:szCs w:val="24"/>
        </w:rPr>
        <w:t xml:space="preserve"> Nómadas. 52(1), </w:t>
      </w:r>
      <w:r>
        <w:rPr>
          <w:rFonts w:ascii="Verdana" w:eastAsia="Verdana" w:hAnsi="Verdana" w:cs="Verdana"/>
          <w:sz w:val="24"/>
          <w:szCs w:val="24"/>
        </w:rPr>
        <w:t xml:space="preserve">114-131. </w:t>
      </w:r>
      <w:hyperlink r:id="rId11">
        <w:r>
          <w:rPr>
            <w:rFonts w:ascii="Verdana" w:eastAsia="Verdana" w:hAnsi="Verdana" w:cs="Verdana"/>
            <w:sz w:val="24"/>
            <w:szCs w:val="24"/>
          </w:rPr>
          <w:t>https://doi.org/10.30578/nomadas.n52a7</w:t>
        </w:r>
      </w:hyperlink>
      <w:r>
        <w:rPr>
          <w:rFonts w:ascii="Verdana" w:eastAsia="Verdana" w:hAnsi="Verdana" w:cs="Verdana"/>
          <w:sz w:val="24"/>
          <w:szCs w:val="24"/>
        </w:rPr>
        <w:t xml:space="preserve"> </w:t>
      </w:r>
    </w:p>
    <w:p w14:paraId="00000071" w14:textId="77777777" w:rsidR="00B246FA" w:rsidRDefault="00000000">
      <w:pPr>
        <w:spacing w:after="240" w:line="360" w:lineRule="auto"/>
        <w:ind w:left="567"/>
        <w:rPr>
          <w:rFonts w:ascii="Verdana" w:eastAsia="Verdana" w:hAnsi="Verdana" w:cs="Verdana"/>
          <w:sz w:val="24"/>
          <w:szCs w:val="24"/>
        </w:rPr>
      </w:pPr>
      <w:r>
        <w:rPr>
          <w:rFonts w:ascii="Verdana" w:eastAsia="Verdana" w:hAnsi="Verdana" w:cs="Verdana"/>
          <w:sz w:val="24"/>
          <w:szCs w:val="24"/>
        </w:rPr>
        <w:t>Figueiredo, C. C. B. (2022). O self-branding da geração Z no TikTok.</w:t>
      </w:r>
      <w:r>
        <w:rPr>
          <w:rFonts w:ascii="Verdana" w:eastAsia="Verdana" w:hAnsi="Verdana" w:cs="Verdana"/>
          <w:b/>
          <w:sz w:val="24"/>
          <w:szCs w:val="24"/>
        </w:rPr>
        <w:t xml:space="preserve"> </w:t>
      </w:r>
      <w:r>
        <w:rPr>
          <w:rFonts w:ascii="Verdana" w:eastAsia="Verdana" w:hAnsi="Verdana" w:cs="Verdana"/>
          <w:sz w:val="24"/>
          <w:szCs w:val="24"/>
        </w:rPr>
        <w:t xml:space="preserve">[Masters Dissertation, Universidade Católica Portuguesa]. Repositório Institucional da Universidade Católica Portuguesa. </w:t>
      </w:r>
      <w:hyperlink r:id="rId12">
        <w:r>
          <w:rPr>
            <w:rFonts w:ascii="Verdana" w:eastAsia="Verdana" w:hAnsi="Verdana" w:cs="Verdana"/>
            <w:sz w:val="24"/>
            <w:szCs w:val="24"/>
          </w:rPr>
          <w:t>https://repositorio.ucp.pt/handle/10400.14/39268</w:t>
        </w:r>
      </w:hyperlink>
      <w:r>
        <w:rPr>
          <w:rFonts w:ascii="Verdana" w:eastAsia="Verdana" w:hAnsi="Verdana" w:cs="Verdana"/>
          <w:sz w:val="24"/>
          <w:szCs w:val="24"/>
        </w:rPr>
        <w:t xml:space="preserve"> </w:t>
      </w:r>
    </w:p>
    <w:p w14:paraId="00000072" w14:textId="77777777" w:rsidR="00B246FA" w:rsidRDefault="00000000">
      <w:pPr>
        <w:spacing w:after="240" w:line="360" w:lineRule="auto"/>
        <w:ind w:left="567"/>
        <w:rPr>
          <w:rFonts w:ascii="Verdana" w:eastAsia="Verdana" w:hAnsi="Verdana" w:cs="Verdana"/>
          <w:sz w:val="24"/>
          <w:szCs w:val="24"/>
        </w:rPr>
      </w:pPr>
      <w:r>
        <w:rPr>
          <w:rFonts w:ascii="Verdana" w:eastAsia="Verdana" w:hAnsi="Verdana" w:cs="Verdana"/>
          <w:sz w:val="24"/>
          <w:szCs w:val="24"/>
        </w:rPr>
        <w:t xml:space="preserve">Fonseca, M. A. (2014). </w:t>
      </w:r>
      <w:r>
        <w:rPr>
          <w:rFonts w:ascii="Verdana" w:eastAsia="Verdana" w:hAnsi="Verdana" w:cs="Verdana"/>
          <w:i/>
          <w:sz w:val="24"/>
          <w:szCs w:val="24"/>
        </w:rPr>
        <w:t>Michel Foucault e a constituição do sujeito</w:t>
      </w:r>
      <w:r>
        <w:rPr>
          <w:rFonts w:ascii="Verdana" w:eastAsia="Verdana" w:hAnsi="Verdana" w:cs="Verdana"/>
          <w:sz w:val="24"/>
          <w:szCs w:val="24"/>
        </w:rPr>
        <w:t>. EDUC.</w:t>
      </w:r>
    </w:p>
    <w:p w14:paraId="00000073" w14:textId="77777777" w:rsidR="00B246FA" w:rsidRDefault="00000000">
      <w:pPr>
        <w:spacing w:after="240" w:line="360" w:lineRule="auto"/>
        <w:ind w:left="567"/>
        <w:rPr>
          <w:rFonts w:ascii="Verdana" w:eastAsia="Verdana" w:hAnsi="Verdana" w:cs="Verdana"/>
          <w:sz w:val="24"/>
          <w:szCs w:val="24"/>
        </w:rPr>
      </w:pPr>
      <w:r>
        <w:rPr>
          <w:rFonts w:ascii="Verdana" w:eastAsia="Verdana" w:hAnsi="Verdana" w:cs="Verdana"/>
          <w:sz w:val="24"/>
          <w:szCs w:val="24"/>
        </w:rPr>
        <w:t xml:space="preserve">Foucault, M. (2014). </w:t>
      </w:r>
      <w:r>
        <w:rPr>
          <w:rFonts w:ascii="Verdana" w:eastAsia="Verdana" w:hAnsi="Verdana" w:cs="Verdana"/>
          <w:i/>
          <w:sz w:val="24"/>
          <w:szCs w:val="24"/>
        </w:rPr>
        <w:t>Vigiar e punir: nascimento da prisão.</w:t>
      </w:r>
      <w:r>
        <w:rPr>
          <w:rFonts w:ascii="Verdana" w:eastAsia="Verdana" w:hAnsi="Verdana" w:cs="Verdana"/>
          <w:b/>
          <w:sz w:val="24"/>
          <w:szCs w:val="24"/>
        </w:rPr>
        <w:t xml:space="preserve"> </w:t>
      </w:r>
      <w:r>
        <w:rPr>
          <w:rFonts w:ascii="Verdana" w:eastAsia="Verdana" w:hAnsi="Verdana" w:cs="Verdana"/>
          <w:sz w:val="24"/>
          <w:szCs w:val="24"/>
        </w:rPr>
        <w:t>Vozes.</w:t>
      </w:r>
    </w:p>
    <w:p w14:paraId="00000074" w14:textId="77777777" w:rsidR="00B246FA" w:rsidRDefault="00000000">
      <w:pPr>
        <w:spacing w:after="240" w:line="360" w:lineRule="auto"/>
        <w:ind w:left="567"/>
        <w:rPr>
          <w:rFonts w:ascii="Verdana" w:eastAsia="Verdana" w:hAnsi="Verdana" w:cs="Verdana"/>
          <w:sz w:val="24"/>
          <w:szCs w:val="24"/>
        </w:rPr>
      </w:pPr>
      <w:r>
        <w:rPr>
          <w:rFonts w:ascii="Verdana" w:eastAsia="Verdana" w:hAnsi="Verdana" w:cs="Verdana"/>
          <w:sz w:val="24"/>
          <w:szCs w:val="24"/>
        </w:rPr>
        <w:t xml:space="preserve">hooks, b. (1994). </w:t>
      </w:r>
      <w:r>
        <w:rPr>
          <w:rFonts w:ascii="Verdana" w:eastAsia="Verdana" w:hAnsi="Verdana" w:cs="Verdana"/>
          <w:i/>
          <w:sz w:val="24"/>
          <w:szCs w:val="24"/>
        </w:rPr>
        <w:t>Teaching to Transgress: education as the practice of freedom</w:t>
      </w:r>
      <w:r>
        <w:rPr>
          <w:rFonts w:ascii="Verdana" w:eastAsia="Verdana" w:hAnsi="Verdana" w:cs="Verdana"/>
          <w:sz w:val="24"/>
          <w:szCs w:val="24"/>
        </w:rPr>
        <w:t>. Routledge.</w:t>
      </w:r>
    </w:p>
    <w:p w14:paraId="00000075" w14:textId="77777777" w:rsidR="00B246FA" w:rsidRDefault="00000000">
      <w:pPr>
        <w:spacing w:after="240" w:line="360" w:lineRule="auto"/>
        <w:ind w:left="567"/>
        <w:rPr>
          <w:rFonts w:ascii="Verdana" w:eastAsia="Verdana" w:hAnsi="Verdana" w:cs="Verdana"/>
          <w:sz w:val="24"/>
          <w:szCs w:val="24"/>
        </w:rPr>
      </w:pPr>
      <w:r>
        <w:rPr>
          <w:rFonts w:ascii="Verdana" w:eastAsia="Verdana" w:hAnsi="Verdana" w:cs="Verdana"/>
          <w:sz w:val="24"/>
          <w:szCs w:val="24"/>
        </w:rPr>
        <w:lastRenderedPageBreak/>
        <w:t xml:space="preserve">hooks, b. (1993). Eros, eroticism and the pedagogical process. </w:t>
      </w:r>
      <w:r>
        <w:rPr>
          <w:rFonts w:ascii="Verdana" w:eastAsia="Verdana" w:hAnsi="Verdana" w:cs="Verdana"/>
          <w:i/>
          <w:sz w:val="24"/>
          <w:szCs w:val="24"/>
        </w:rPr>
        <w:t>Cultural Studies</w:t>
      </w:r>
      <w:r>
        <w:rPr>
          <w:rFonts w:ascii="Verdana" w:eastAsia="Verdana" w:hAnsi="Verdana" w:cs="Verdana"/>
          <w:sz w:val="24"/>
          <w:szCs w:val="24"/>
        </w:rPr>
        <w:t>. 7(1), 58-63.</w:t>
      </w:r>
    </w:p>
    <w:p w14:paraId="00000076" w14:textId="77777777" w:rsidR="00B246FA" w:rsidRDefault="00000000">
      <w:pPr>
        <w:spacing w:after="240" w:line="360" w:lineRule="auto"/>
        <w:ind w:left="567"/>
        <w:rPr>
          <w:rFonts w:ascii="Verdana" w:eastAsia="Verdana" w:hAnsi="Verdana" w:cs="Verdana"/>
          <w:sz w:val="24"/>
          <w:szCs w:val="24"/>
        </w:rPr>
      </w:pPr>
      <w:r>
        <w:rPr>
          <w:rFonts w:ascii="Verdana" w:eastAsia="Verdana" w:hAnsi="Verdana" w:cs="Verdana"/>
          <w:sz w:val="24"/>
          <w:szCs w:val="24"/>
        </w:rPr>
        <w:t xml:space="preserve">hooks, b. (2010). </w:t>
      </w:r>
      <w:r>
        <w:rPr>
          <w:rFonts w:ascii="Verdana" w:eastAsia="Verdana" w:hAnsi="Verdana" w:cs="Verdana"/>
          <w:i/>
          <w:sz w:val="24"/>
          <w:szCs w:val="24"/>
        </w:rPr>
        <w:t>Teaching critical thinking: practical wisdom</w:t>
      </w:r>
      <w:r>
        <w:rPr>
          <w:rFonts w:ascii="Verdana" w:eastAsia="Verdana" w:hAnsi="Verdana" w:cs="Verdana"/>
          <w:sz w:val="24"/>
          <w:szCs w:val="24"/>
        </w:rPr>
        <w:t>. Routledge.</w:t>
      </w:r>
    </w:p>
    <w:p w14:paraId="00000077" w14:textId="77777777" w:rsidR="00B246FA" w:rsidRDefault="00000000">
      <w:pPr>
        <w:spacing w:after="240" w:line="360" w:lineRule="auto"/>
        <w:ind w:left="567"/>
        <w:rPr>
          <w:rFonts w:ascii="Verdana" w:eastAsia="Verdana" w:hAnsi="Verdana" w:cs="Verdana"/>
          <w:sz w:val="24"/>
          <w:szCs w:val="24"/>
        </w:rPr>
      </w:pPr>
      <w:r>
        <w:rPr>
          <w:rFonts w:ascii="Verdana" w:eastAsia="Verdana" w:hAnsi="Verdana" w:cs="Verdana"/>
          <w:sz w:val="24"/>
          <w:szCs w:val="24"/>
        </w:rPr>
        <w:t xml:space="preserve">Larrosa, J. (2010). </w:t>
      </w:r>
      <w:r>
        <w:rPr>
          <w:rFonts w:ascii="Verdana" w:eastAsia="Verdana" w:hAnsi="Verdana" w:cs="Verdana"/>
          <w:i/>
          <w:sz w:val="24"/>
          <w:szCs w:val="24"/>
        </w:rPr>
        <w:t>Pedagogia Profana: danças, piruetas e máscaras</w:t>
      </w:r>
      <w:r>
        <w:rPr>
          <w:rFonts w:ascii="Verdana" w:eastAsia="Verdana" w:hAnsi="Verdana" w:cs="Verdana"/>
          <w:sz w:val="24"/>
          <w:szCs w:val="24"/>
        </w:rPr>
        <w:t>. Autêntica.</w:t>
      </w:r>
    </w:p>
    <w:p w14:paraId="00000078" w14:textId="77777777" w:rsidR="00B246FA" w:rsidRDefault="00000000">
      <w:pPr>
        <w:spacing w:after="240" w:line="360" w:lineRule="auto"/>
        <w:ind w:left="567"/>
        <w:rPr>
          <w:rFonts w:ascii="Verdana" w:eastAsia="Verdana" w:hAnsi="Verdana" w:cs="Verdana"/>
          <w:sz w:val="24"/>
          <w:szCs w:val="24"/>
        </w:rPr>
      </w:pPr>
      <w:r>
        <w:rPr>
          <w:rFonts w:ascii="Verdana" w:eastAsia="Verdana" w:hAnsi="Verdana" w:cs="Verdana"/>
          <w:sz w:val="24"/>
          <w:szCs w:val="24"/>
        </w:rPr>
        <w:t xml:space="preserve">Louro, G. L. (1997). </w:t>
      </w:r>
      <w:r>
        <w:rPr>
          <w:rFonts w:ascii="Verdana" w:eastAsia="Verdana" w:hAnsi="Verdana" w:cs="Verdana"/>
          <w:i/>
          <w:sz w:val="24"/>
          <w:szCs w:val="24"/>
        </w:rPr>
        <w:t>Gênero, sexualidade e educação: uma perspectiva pós-estruturalista</w:t>
      </w:r>
      <w:r>
        <w:rPr>
          <w:rFonts w:ascii="Verdana" w:eastAsia="Verdana" w:hAnsi="Verdana" w:cs="Verdana"/>
          <w:sz w:val="24"/>
          <w:szCs w:val="24"/>
        </w:rPr>
        <w:t>. Vozes.</w:t>
      </w:r>
    </w:p>
    <w:p w14:paraId="00000079" w14:textId="77777777" w:rsidR="00B246FA" w:rsidRDefault="00000000">
      <w:pPr>
        <w:spacing w:after="240" w:line="360" w:lineRule="auto"/>
        <w:ind w:left="567"/>
        <w:rPr>
          <w:rFonts w:ascii="Verdana" w:eastAsia="Verdana" w:hAnsi="Verdana" w:cs="Verdana"/>
          <w:sz w:val="24"/>
          <w:szCs w:val="24"/>
        </w:rPr>
      </w:pPr>
      <w:r>
        <w:rPr>
          <w:rFonts w:ascii="Verdana" w:eastAsia="Verdana" w:hAnsi="Verdana" w:cs="Verdana"/>
          <w:sz w:val="24"/>
          <w:szCs w:val="24"/>
        </w:rPr>
        <w:t xml:space="preserve">Mattos, A., &amp; Silva, G. M. (2023). “To Be Treated as a Thing”: Discussing Power Relations with Children in a Public School in Rio de Janeiro. In Zurbriggen, E. L., &amp; Capdevila, R. (Eds.), </w:t>
      </w:r>
      <w:r>
        <w:rPr>
          <w:rFonts w:ascii="Verdana" w:eastAsia="Verdana" w:hAnsi="Verdana" w:cs="Verdana"/>
          <w:i/>
          <w:sz w:val="24"/>
          <w:szCs w:val="24"/>
        </w:rPr>
        <w:t>The Palgrave Handbook of Power, Gender, and Psychology</w:t>
      </w:r>
      <w:r>
        <w:rPr>
          <w:rFonts w:ascii="Verdana" w:eastAsia="Verdana" w:hAnsi="Verdana" w:cs="Verdana"/>
          <w:sz w:val="24"/>
          <w:szCs w:val="24"/>
        </w:rPr>
        <w:t>. Palgrave Macmillan. https://doi.org/10.1007/978-3-031-41531-9</w:t>
      </w:r>
    </w:p>
    <w:p w14:paraId="0000007A" w14:textId="77777777" w:rsidR="00B246FA" w:rsidRDefault="00000000">
      <w:pPr>
        <w:spacing w:after="240" w:line="360" w:lineRule="auto"/>
        <w:ind w:left="567"/>
        <w:rPr>
          <w:rFonts w:ascii="Verdana" w:eastAsia="Verdana" w:hAnsi="Verdana" w:cs="Verdana"/>
          <w:sz w:val="24"/>
          <w:szCs w:val="24"/>
        </w:rPr>
      </w:pPr>
      <w:r>
        <w:rPr>
          <w:rFonts w:ascii="Verdana" w:eastAsia="Verdana" w:hAnsi="Verdana" w:cs="Verdana"/>
          <w:sz w:val="24"/>
          <w:szCs w:val="24"/>
        </w:rPr>
        <w:t xml:space="preserve">Ortiz-González, J. C. (2023). CryptoPunks, aceleracionismo, tecnociencia y el desborde del capital. </w:t>
      </w:r>
      <w:r>
        <w:rPr>
          <w:rFonts w:ascii="Verdana" w:eastAsia="Verdana" w:hAnsi="Verdana" w:cs="Verdana"/>
          <w:i/>
          <w:sz w:val="24"/>
          <w:szCs w:val="24"/>
        </w:rPr>
        <w:t>Desde el Sur. 15(2), 1-20</w:t>
      </w:r>
      <w:r>
        <w:rPr>
          <w:rFonts w:ascii="Verdana" w:eastAsia="Verdana" w:hAnsi="Verdana" w:cs="Verdana"/>
          <w:sz w:val="24"/>
          <w:szCs w:val="24"/>
        </w:rPr>
        <w:t xml:space="preserve">. </w:t>
      </w:r>
      <w:hyperlink r:id="rId13">
        <w:r>
          <w:rPr>
            <w:rFonts w:ascii="Verdana" w:eastAsia="Verdana" w:hAnsi="Verdana" w:cs="Verdana"/>
            <w:sz w:val="24"/>
            <w:szCs w:val="24"/>
          </w:rPr>
          <w:t>https://dx.doi.org/10.21142/des-1502-2023-0018</w:t>
        </w:r>
      </w:hyperlink>
      <w:r>
        <w:rPr>
          <w:rFonts w:ascii="Verdana" w:eastAsia="Verdana" w:hAnsi="Verdana" w:cs="Verdana"/>
          <w:sz w:val="24"/>
          <w:szCs w:val="24"/>
        </w:rPr>
        <w:t xml:space="preserve"> </w:t>
      </w:r>
    </w:p>
    <w:p w14:paraId="0000007B" w14:textId="77777777" w:rsidR="00B246FA" w:rsidRDefault="00000000">
      <w:pPr>
        <w:spacing w:after="240" w:line="360" w:lineRule="auto"/>
        <w:ind w:left="567"/>
        <w:rPr>
          <w:rFonts w:ascii="Verdana" w:eastAsia="Verdana" w:hAnsi="Verdana" w:cs="Verdana"/>
          <w:sz w:val="24"/>
          <w:szCs w:val="24"/>
        </w:rPr>
      </w:pPr>
      <w:r>
        <w:rPr>
          <w:rFonts w:ascii="Verdana" w:eastAsia="Verdana" w:hAnsi="Verdana" w:cs="Verdana"/>
          <w:sz w:val="24"/>
          <w:szCs w:val="24"/>
        </w:rPr>
        <w:t>Peres, A. C. (2020). Favelas contra o vírus.</w:t>
      </w:r>
      <w:r>
        <w:rPr>
          <w:rFonts w:ascii="Verdana" w:eastAsia="Verdana" w:hAnsi="Verdana" w:cs="Verdana"/>
          <w:i/>
          <w:sz w:val="24"/>
          <w:szCs w:val="24"/>
        </w:rPr>
        <w:t xml:space="preserve"> Revista Radis. </w:t>
      </w:r>
      <w:r>
        <w:rPr>
          <w:rFonts w:ascii="Verdana" w:eastAsia="Verdana" w:hAnsi="Verdana" w:cs="Verdana"/>
          <w:sz w:val="24"/>
          <w:szCs w:val="24"/>
        </w:rPr>
        <w:t>212(1), 20-25. https://radis.ensp.fiocruz.br/pdf/radis-212_web.pdf</w:t>
      </w:r>
      <w:r>
        <w:rPr>
          <w:rFonts w:ascii="Verdana" w:eastAsia="Verdana" w:hAnsi="Verdana" w:cs="Verdana"/>
          <w:i/>
          <w:sz w:val="24"/>
          <w:szCs w:val="24"/>
        </w:rPr>
        <w:t xml:space="preserve"> </w:t>
      </w:r>
    </w:p>
    <w:p w14:paraId="0000007C" w14:textId="77777777" w:rsidR="00B246FA" w:rsidRDefault="00000000">
      <w:pPr>
        <w:spacing w:after="240" w:line="360" w:lineRule="auto"/>
        <w:ind w:left="567"/>
        <w:rPr>
          <w:rFonts w:ascii="Verdana" w:eastAsia="Verdana" w:hAnsi="Verdana" w:cs="Verdana"/>
          <w:sz w:val="24"/>
          <w:szCs w:val="24"/>
        </w:rPr>
      </w:pPr>
      <w:r>
        <w:rPr>
          <w:rFonts w:ascii="Verdana" w:eastAsia="Verdana" w:hAnsi="Verdana" w:cs="Verdana"/>
          <w:sz w:val="24"/>
          <w:szCs w:val="24"/>
        </w:rPr>
        <w:t xml:space="preserve">Prado, R. L. C., &amp; de Freitas, M. C. (2020). Normas éticas traduzem-se em ética na pesquisa? Pesquisas com crianças em instituições e nas cidades. </w:t>
      </w:r>
      <w:r>
        <w:rPr>
          <w:rFonts w:ascii="Verdana" w:eastAsia="Verdana" w:hAnsi="Verdana" w:cs="Verdana"/>
          <w:i/>
          <w:sz w:val="24"/>
          <w:szCs w:val="24"/>
        </w:rPr>
        <w:t>Práxis Educacional</w:t>
      </w:r>
      <w:r>
        <w:rPr>
          <w:rFonts w:ascii="Verdana" w:eastAsia="Verdana" w:hAnsi="Verdana" w:cs="Verdana"/>
          <w:sz w:val="24"/>
          <w:szCs w:val="24"/>
        </w:rPr>
        <w:t>. 16(40), 25-46. https://doi.org/10.22481/praxisedu.v16i40.6879</w:t>
      </w:r>
    </w:p>
    <w:p w14:paraId="0000007D" w14:textId="77777777" w:rsidR="00B246FA" w:rsidRDefault="00000000">
      <w:pPr>
        <w:spacing w:after="240" w:line="360" w:lineRule="auto"/>
        <w:ind w:left="567"/>
        <w:rPr>
          <w:rFonts w:ascii="Verdana" w:eastAsia="Verdana" w:hAnsi="Verdana" w:cs="Verdana"/>
          <w:sz w:val="24"/>
          <w:szCs w:val="24"/>
        </w:rPr>
      </w:pPr>
      <w:r>
        <w:rPr>
          <w:rFonts w:ascii="Verdana" w:eastAsia="Verdana" w:hAnsi="Verdana" w:cs="Verdana"/>
          <w:sz w:val="24"/>
          <w:szCs w:val="24"/>
        </w:rPr>
        <w:t xml:space="preserve">Pocahy, F. (2012). A idade um dispositivo. A geração como performativo. Provocações discursivo-desconstrucionistas sobre corpo-gênero-sexualidade. </w:t>
      </w:r>
      <w:r>
        <w:rPr>
          <w:rFonts w:ascii="Verdana" w:eastAsia="Verdana" w:hAnsi="Verdana" w:cs="Verdana"/>
          <w:i/>
          <w:sz w:val="24"/>
          <w:szCs w:val="24"/>
        </w:rPr>
        <w:t xml:space="preserve">Revista Polis E Psique. </w:t>
      </w:r>
      <w:r>
        <w:rPr>
          <w:rFonts w:ascii="Verdana" w:eastAsia="Verdana" w:hAnsi="Verdana" w:cs="Verdana"/>
          <w:sz w:val="24"/>
          <w:szCs w:val="24"/>
        </w:rPr>
        <w:t xml:space="preserve">1(3), 195-211. </w:t>
      </w:r>
      <w:hyperlink r:id="rId14">
        <w:r>
          <w:rPr>
            <w:rFonts w:ascii="Verdana" w:eastAsia="Verdana" w:hAnsi="Verdana" w:cs="Verdana"/>
            <w:sz w:val="24"/>
            <w:szCs w:val="24"/>
          </w:rPr>
          <w:t>https://doi.org/10.22456/2238-152X.31539</w:t>
        </w:r>
      </w:hyperlink>
      <w:r>
        <w:rPr>
          <w:rFonts w:ascii="Verdana" w:eastAsia="Verdana" w:hAnsi="Verdana" w:cs="Verdana"/>
          <w:sz w:val="24"/>
          <w:szCs w:val="24"/>
        </w:rPr>
        <w:t xml:space="preserve"> </w:t>
      </w:r>
    </w:p>
    <w:p w14:paraId="0000007E" w14:textId="77777777" w:rsidR="00B246FA" w:rsidRDefault="00000000">
      <w:pPr>
        <w:spacing w:after="240" w:line="360" w:lineRule="auto"/>
        <w:ind w:left="567"/>
        <w:rPr>
          <w:rFonts w:ascii="Verdana" w:eastAsia="Verdana" w:hAnsi="Verdana" w:cs="Verdana"/>
          <w:sz w:val="24"/>
          <w:szCs w:val="24"/>
        </w:rPr>
      </w:pPr>
      <w:r>
        <w:rPr>
          <w:rFonts w:ascii="Verdana" w:eastAsia="Verdana" w:hAnsi="Verdana" w:cs="Verdana"/>
          <w:sz w:val="24"/>
          <w:szCs w:val="24"/>
        </w:rPr>
        <w:lastRenderedPageBreak/>
        <w:t xml:space="preserve">Ranniery, T. (2017). Curriculum, normativity and policies of recognition from school trajectories of “gay boys”. </w:t>
      </w:r>
      <w:r>
        <w:rPr>
          <w:rFonts w:ascii="Verdana" w:eastAsia="Verdana" w:hAnsi="Verdana" w:cs="Verdana"/>
          <w:i/>
          <w:sz w:val="24"/>
          <w:szCs w:val="24"/>
        </w:rPr>
        <w:t>Education Policy Analysis Archives</w:t>
      </w:r>
      <w:r>
        <w:rPr>
          <w:rFonts w:ascii="Verdana" w:eastAsia="Verdana" w:hAnsi="Verdana" w:cs="Verdana"/>
          <w:sz w:val="24"/>
          <w:szCs w:val="24"/>
        </w:rPr>
        <w:t xml:space="preserve">. 25(51). </w:t>
      </w:r>
      <w:hyperlink r:id="rId15">
        <w:r>
          <w:rPr>
            <w:rFonts w:ascii="Verdana" w:eastAsia="Verdana" w:hAnsi="Verdana" w:cs="Verdana"/>
            <w:sz w:val="24"/>
            <w:szCs w:val="24"/>
          </w:rPr>
          <w:t>https://doi.org/10.14507/epaa.25.2835</w:t>
        </w:r>
      </w:hyperlink>
    </w:p>
    <w:p w14:paraId="0000007F" w14:textId="77777777" w:rsidR="00B246FA" w:rsidRDefault="00000000">
      <w:pPr>
        <w:spacing w:after="240" w:line="360" w:lineRule="auto"/>
        <w:ind w:left="567"/>
        <w:rPr>
          <w:rFonts w:ascii="Verdana" w:eastAsia="Verdana" w:hAnsi="Verdana" w:cs="Verdana"/>
          <w:sz w:val="24"/>
          <w:szCs w:val="24"/>
        </w:rPr>
      </w:pPr>
      <w:r>
        <w:rPr>
          <w:rFonts w:ascii="Verdana" w:eastAsia="Verdana" w:hAnsi="Verdana" w:cs="Verdana"/>
          <w:sz w:val="24"/>
          <w:szCs w:val="24"/>
        </w:rPr>
        <w:t xml:space="preserve">Martuchi, R. R. (2024). </w:t>
      </w:r>
      <w:r>
        <w:rPr>
          <w:rFonts w:ascii="Verdana" w:eastAsia="Verdana" w:hAnsi="Verdana" w:cs="Verdana"/>
          <w:i/>
          <w:sz w:val="24"/>
          <w:szCs w:val="24"/>
        </w:rPr>
        <w:t xml:space="preserve">“Aiiin, Mona, o babado é forte!”: Quando a fofoca joga com a verdade, interroga as amizades e produz sexualidades </w:t>
      </w:r>
      <w:r>
        <w:rPr>
          <w:rFonts w:ascii="Verdana" w:eastAsia="Verdana" w:hAnsi="Verdana" w:cs="Verdana"/>
          <w:sz w:val="24"/>
          <w:szCs w:val="24"/>
        </w:rPr>
        <w:t xml:space="preserve">[Master's dissertation, Universidade do Estado do Rio de Janeiro]. Biblioteca Digital de Teses e Dissertações. </w:t>
      </w:r>
      <w:hyperlink r:id="rId16">
        <w:r>
          <w:rPr>
            <w:rFonts w:ascii="Verdana" w:eastAsia="Verdana" w:hAnsi="Verdana" w:cs="Verdana"/>
            <w:sz w:val="24"/>
            <w:szCs w:val="24"/>
          </w:rPr>
          <w:t>https://www.bdtd.uerj.br:8443/handle/1/22005</w:t>
        </w:r>
      </w:hyperlink>
    </w:p>
    <w:p w14:paraId="00000080" w14:textId="77777777" w:rsidR="00B246FA" w:rsidRDefault="00000000">
      <w:pPr>
        <w:spacing w:after="240" w:line="360" w:lineRule="auto"/>
        <w:ind w:left="567"/>
        <w:rPr>
          <w:rFonts w:ascii="Verdana" w:eastAsia="Verdana" w:hAnsi="Verdana" w:cs="Verdana"/>
          <w:sz w:val="24"/>
          <w:szCs w:val="24"/>
        </w:rPr>
      </w:pPr>
      <w:r>
        <w:rPr>
          <w:rFonts w:ascii="Verdana" w:eastAsia="Verdana" w:hAnsi="Verdana" w:cs="Verdana"/>
          <w:sz w:val="24"/>
          <w:szCs w:val="24"/>
        </w:rPr>
        <w:t>Rocha, M. L., &amp; Aguiar, K. F. (2003). Pesquisa-intervenção e a produção de novas análises</w:t>
      </w:r>
      <w:r>
        <w:rPr>
          <w:rFonts w:ascii="Verdana" w:eastAsia="Verdana" w:hAnsi="Verdana" w:cs="Verdana"/>
          <w:i/>
          <w:sz w:val="24"/>
          <w:szCs w:val="24"/>
        </w:rPr>
        <w:t>. Psicologia: Ciência e Profissão</w:t>
      </w:r>
      <w:r>
        <w:rPr>
          <w:rFonts w:ascii="Verdana" w:eastAsia="Verdana" w:hAnsi="Verdana" w:cs="Verdana"/>
          <w:sz w:val="24"/>
          <w:szCs w:val="24"/>
        </w:rPr>
        <w:t>.</w:t>
      </w:r>
      <w:r>
        <w:rPr>
          <w:rFonts w:ascii="Verdana" w:eastAsia="Verdana" w:hAnsi="Verdana" w:cs="Verdana"/>
          <w:i/>
          <w:sz w:val="24"/>
          <w:szCs w:val="24"/>
        </w:rPr>
        <w:t xml:space="preserve"> 23(4)</w:t>
      </w:r>
      <w:r>
        <w:rPr>
          <w:rFonts w:ascii="Verdana" w:eastAsia="Verdana" w:hAnsi="Verdana" w:cs="Verdana"/>
          <w:sz w:val="24"/>
          <w:szCs w:val="24"/>
        </w:rPr>
        <w:t>, 64-73.</w:t>
      </w:r>
    </w:p>
    <w:p w14:paraId="00000081" w14:textId="77777777" w:rsidR="00B246FA" w:rsidRDefault="00000000">
      <w:pPr>
        <w:spacing w:after="240" w:line="360" w:lineRule="auto"/>
        <w:ind w:left="567"/>
        <w:rPr>
          <w:rFonts w:ascii="Verdana" w:eastAsia="Verdana" w:hAnsi="Verdana" w:cs="Verdana"/>
          <w:sz w:val="24"/>
          <w:szCs w:val="24"/>
        </w:rPr>
      </w:pPr>
      <w:r>
        <w:rPr>
          <w:rFonts w:ascii="Verdana" w:eastAsia="Verdana" w:hAnsi="Verdana" w:cs="Verdana"/>
          <w:sz w:val="24"/>
          <w:szCs w:val="24"/>
        </w:rPr>
        <w:t xml:space="preserve">Salgado, R. G., &amp; Souza, L. L. (2018). Gêneros, sexualidades e infâncias: cenas de crianças na contramão da inocência. </w:t>
      </w:r>
      <w:r>
        <w:rPr>
          <w:rFonts w:ascii="Verdana" w:eastAsia="Verdana" w:hAnsi="Verdana" w:cs="Verdana"/>
          <w:i/>
          <w:sz w:val="24"/>
          <w:szCs w:val="24"/>
        </w:rPr>
        <w:t>Childhood &amp; Philosophy</w:t>
      </w:r>
      <w:r>
        <w:rPr>
          <w:rFonts w:ascii="Verdana" w:eastAsia="Verdana" w:hAnsi="Verdana" w:cs="Verdana"/>
          <w:sz w:val="24"/>
          <w:szCs w:val="24"/>
        </w:rPr>
        <w:t xml:space="preserve">. 14(29), 241-258. </w:t>
      </w:r>
      <w:hyperlink r:id="rId17">
        <w:r>
          <w:rPr>
            <w:rFonts w:ascii="Verdana" w:eastAsia="Verdana" w:hAnsi="Verdana" w:cs="Verdana"/>
            <w:sz w:val="24"/>
            <w:szCs w:val="24"/>
          </w:rPr>
          <w:t>https://doi.org/10.12957/childphilo.2018.30540</w:t>
        </w:r>
      </w:hyperlink>
      <w:r>
        <w:rPr>
          <w:rFonts w:ascii="Verdana" w:eastAsia="Verdana" w:hAnsi="Verdana" w:cs="Verdana"/>
          <w:sz w:val="24"/>
          <w:szCs w:val="24"/>
        </w:rPr>
        <w:t xml:space="preserve"> </w:t>
      </w:r>
    </w:p>
    <w:p w14:paraId="00000082" w14:textId="77777777" w:rsidR="00B246FA" w:rsidRDefault="00000000">
      <w:pPr>
        <w:spacing w:after="240" w:line="360" w:lineRule="auto"/>
        <w:ind w:left="567"/>
        <w:rPr>
          <w:rFonts w:ascii="Verdana" w:eastAsia="Verdana" w:hAnsi="Verdana" w:cs="Verdana"/>
          <w:sz w:val="24"/>
          <w:szCs w:val="24"/>
        </w:rPr>
      </w:pPr>
      <w:r>
        <w:rPr>
          <w:rFonts w:ascii="Verdana" w:eastAsia="Verdana" w:hAnsi="Verdana" w:cs="Verdana"/>
          <w:sz w:val="24"/>
          <w:szCs w:val="24"/>
        </w:rPr>
        <w:t xml:space="preserve">Silva, C. F. S., &amp; Gomes, L. O. (2023). Participação política e infância: Como as crianças brasileiras se posicionam e se fazem presentes em seus contextos sociais. </w:t>
      </w:r>
      <w:r>
        <w:rPr>
          <w:rFonts w:ascii="Verdana" w:eastAsia="Verdana" w:hAnsi="Verdana" w:cs="Verdana"/>
          <w:i/>
          <w:sz w:val="24"/>
          <w:szCs w:val="24"/>
        </w:rPr>
        <w:t>Arquivos Analíticos De Políticas Educativas</w:t>
      </w:r>
      <w:r>
        <w:rPr>
          <w:rFonts w:ascii="Verdana" w:eastAsia="Verdana" w:hAnsi="Verdana" w:cs="Verdana"/>
          <w:sz w:val="24"/>
          <w:szCs w:val="24"/>
        </w:rPr>
        <w:t>. 30 (</w:t>
      </w:r>
      <w:r>
        <w:rPr>
          <w:rFonts w:ascii="Verdana" w:eastAsia="Verdana" w:hAnsi="Verdana" w:cs="Verdana"/>
          <w:i/>
          <w:sz w:val="24"/>
          <w:szCs w:val="24"/>
        </w:rPr>
        <w:t>31)</w:t>
      </w:r>
      <w:r>
        <w:rPr>
          <w:rFonts w:ascii="Verdana" w:eastAsia="Verdana" w:hAnsi="Verdana" w:cs="Verdana"/>
          <w:sz w:val="24"/>
          <w:szCs w:val="24"/>
        </w:rPr>
        <w:t xml:space="preserve">. </w:t>
      </w:r>
      <w:hyperlink r:id="rId18">
        <w:r>
          <w:rPr>
            <w:rFonts w:ascii="Verdana" w:eastAsia="Verdana" w:hAnsi="Verdana" w:cs="Verdana"/>
            <w:sz w:val="24"/>
            <w:szCs w:val="24"/>
          </w:rPr>
          <w:t>https://doi.org/10.14507/epaa.31.7346</w:t>
        </w:r>
      </w:hyperlink>
      <w:r>
        <w:rPr>
          <w:rFonts w:ascii="Verdana" w:eastAsia="Verdana" w:hAnsi="Verdana" w:cs="Verdana"/>
          <w:sz w:val="24"/>
          <w:szCs w:val="24"/>
        </w:rPr>
        <w:t xml:space="preserve"> </w:t>
      </w:r>
    </w:p>
    <w:p w14:paraId="00000083" w14:textId="77777777" w:rsidR="00B246FA" w:rsidRDefault="00000000">
      <w:pPr>
        <w:spacing w:after="240" w:line="360" w:lineRule="auto"/>
        <w:ind w:left="567"/>
        <w:rPr>
          <w:rFonts w:ascii="Verdana" w:eastAsia="Verdana" w:hAnsi="Verdana" w:cs="Verdana"/>
          <w:sz w:val="24"/>
          <w:szCs w:val="24"/>
        </w:rPr>
      </w:pPr>
      <w:r>
        <w:rPr>
          <w:rFonts w:ascii="Verdana" w:eastAsia="Verdana" w:hAnsi="Verdana" w:cs="Verdana"/>
          <w:sz w:val="24"/>
          <w:szCs w:val="24"/>
        </w:rPr>
        <w:t xml:space="preserve">Souza, C. A. (2021). Notas sobre o fazer de uma psicóloga escolar na pandemia. </w:t>
      </w:r>
      <w:r>
        <w:rPr>
          <w:rFonts w:ascii="Verdana" w:eastAsia="Verdana" w:hAnsi="Verdana" w:cs="Verdana"/>
          <w:i/>
          <w:sz w:val="24"/>
          <w:szCs w:val="24"/>
        </w:rPr>
        <w:t>Estilos da Clínica. 26(1),</w:t>
      </w:r>
      <w:r>
        <w:rPr>
          <w:rFonts w:ascii="Verdana" w:eastAsia="Verdana" w:hAnsi="Verdana" w:cs="Verdana"/>
          <w:sz w:val="24"/>
          <w:szCs w:val="24"/>
        </w:rPr>
        <w:t xml:space="preserve"> 17-28. </w:t>
      </w:r>
      <w:hyperlink r:id="rId19">
        <w:r>
          <w:rPr>
            <w:rFonts w:ascii="Verdana" w:eastAsia="Verdana" w:hAnsi="Verdana" w:cs="Verdana"/>
            <w:sz w:val="24"/>
            <w:szCs w:val="24"/>
          </w:rPr>
          <w:t>http://dx.doi.org/10.11606/issn.1981-1624.v26i1p17-28</w:t>
        </w:r>
      </w:hyperlink>
      <w:r>
        <w:rPr>
          <w:rFonts w:ascii="Verdana" w:eastAsia="Verdana" w:hAnsi="Verdana" w:cs="Verdana"/>
          <w:sz w:val="24"/>
          <w:szCs w:val="24"/>
        </w:rPr>
        <w:t xml:space="preserve"> </w:t>
      </w:r>
    </w:p>
    <w:p w14:paraId="00000084" w14:textId="77777777" w:rsidR="00B246FA" w:rsidRDefault="00000000">
      <w:pPr>
        <w:spacing w:after="240" w:line="360" w:lineRule="auto"/>
        <w:ind w:left="567"/>
        <w:rPr>
          <w:rFonts w:ascii="Verdana" w:eastAsia="Verdana" w:hAnsi="Verdana" w:cs="Verdana"/>
          <w:sz w:val="24"/>
          <w:szCs w:val="24"/>
        </w:rPr>
      </w:pPr>
      <w:r>
        <w:rPr>
          <w:rFonts w:ascii="Verdana" w:eastAsia="Verdana" w:hAnsi="Verdana" w:cs="Verdana"/>
          <w:sz w:val="24"/>
          <w:szCs w:val="24"/>
        </w:rPr>
        <w:t xml:space="preserve">Teixeira, J. M., &amp; Bulgarelli, L. (2023). Gender and sexuality (still) in dispute: Effects of the spread of “gender ideology” in Brazil. In Pinheiro-Machado, R., &amp; Vargas-Maia, T. (Eds.), </w:t>
      </w:r>
      <w:r>
        <w:rPr>
          <w:rFonts w:ascii="Verdana" w:eastAsia="Verdana" w:hAnsi="Verdana" w:cs="Verdana"/>
          <w:i/>
          <w:sz w:val="24"/>
          <w:szCs w:val="24"/>
        </w:rPr>
        <w:t xml:space="preserve">The Rise of the Radical Right in the Global South. </w:t>
      </w:r>
      <w:r>
        <w:rPr>
          <w:rFonts w:ascii="Verdana" w:eastAsia="Verdana" w:hAnsi="Verdana" w:cs="Verdana"/>
          <w:sz w:val="24"/>
          <w:szCs w:val="24"/>
        </w:rPr>
        <w:t>Routledge. https://doi.org/10.4324/9781003193012</w:t>
      </w:r>
    </w:p>
    <w:p w14:paraId="00000085" w14:textId="77777777" w:rsidR="00B246FA" w:rsidRDefault="00B246FA">
      <w:pPr>
        <w:spacing w:after="0" w:line="360" w:lineRule="auto"/>
        <w:rPr>
          <w:rFonts w:ascii="Verdana" w:eastAsia="Verdana" w:hAnsi="Verdana" w:cs="Verdana"/>
          <w:sz w:val="24"/>
          <w:szCs w:val="24"/>
        </w:rPr>
      </w:pPr>
    </w:p>
    <w:p w14:paraId="00000086" w14:textId="77777777" w:rsidR="00B246FA" w:rsidRDefault="00B246FA">
      <w:pPr>
        <w:spacing w:after="0" w:line="360" w:lineRule="auto"/>
        <w:rPr>
          <w:rFonts w:ascii="Verdana" w:eastAsia="Verdana" w:hAnsi="Verdana" w:cs="Verdana"/>
          <w:sz w:val="24"/>
          <w:szCs w:val="24"/>
        </w:rPr>
      </w:pPr>
    </w:p>
    <w:p w14:paraId="00000087" w14:textId="77777777" w:rsidR="00B246FA" w:rsidRDefault="00B246FA">
      <w:pPr>
        <w:spacing w:after="0" w:line="360" w:lineRule="auto"/>
        <w:rPr>
          <w:rFonts w:ascii="Verdana" w:eastAsia="Verdana" w:hAnsi="Verdana" w:cs="Verdana"/>
          <w:sz w:val="24"/>
          <w:szCs w:val="24"/>
        </w:rPr>
      </w:pPr>
    </w:p>
    <w:sectPr w:rsidR="00B246FA">
      <w:pgSz w:w="11906" w:h="16838"/>
      <w:pgMar w:top="1440" w:right="1440" w:bottom="1440" w:left="1440"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A0AD56" w14:textId="77777777" w:rsidR="007F07A7" w:rsidRDefault="007F07A7">
      <w:pPr>
        <w:spacing w:after="0" w:line="240" w:lineRule="auto"/>
      </w:pPr>
      <w:r>
        <w:separator/>
      </w:r>
    </w:p>
  </w:endnote>
  <w:endnote w:type="continuationSeparator" w:id="0">
    <w:p w14:paraId="702B50EB" w14:textId="77777777" w:rsidR="007F07A7" w:rsidRDefault="007F07A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Trebuchet MS">
    <w:panose1 w:val="020B0603020202020204"/>
    <w:charset w:val="00"/>
    <w:family w:val="swiss"/>
    <w:pitch w:val="variable"/>
    <w:sig w:usb0="00000687" w:usb1="00000000" w:usb2="00000000" w:usb3="00000000" w:csb0="0000009F" w:csb1="00000000"/>
  </w:font>
  <w:font w:name="Arial Unicode MS">
    <w:altName w:val="Arial"/>
    <w:panose1 w:val="020B0604020202020204"/>
    <w:charset w:val="00"/>
    <w:family w:val="auto"/>
    <w:pitch w:val="default"/>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5FEC58C" w14:textId="77777777" w:rsidR="007F07A7" w:rsidRDefault="007F07A7">
      <w:pPr>
        <w:spacing w:after="0" w:line="240" w:lineRule="auto"/>
      </w:pPr>
      <w:r>
        <w:separator/>
      </w:r>
    </w:p>
  </w:footnote>
  <w:footnote w:type="continuationSeparator" w:id="0">
    <w:p w14:paraId="733B1782" w14:textId="77777777" w:rsidR="007F07A7" w:rsidRDefault="007F07A7">
      <w:pPr>
        <w:spacing w:after="0" w:line="240" w:lineRule="auto"/>
      </w:pPr>
      <w:r>
        <w:continuationSeparator/>
      </w:r>
    </w:p>
  </w:footnote>
  <w:footnote w:id="1">
    <w:p w14:paraId="00000088" w14:textId="77777777" w:rsidR="00B246FA" w:rsidRDefault="00000000">
      <w:pPr>
        <w:spacing w:after="0" w:line="240" w:lineRule="auto"/>
        <w:rPr>
          <w:rFonts w:ascii="Verdana" w:eastAsia="Verdana" w:hAnsi="Verdana" w:cs="Verdana"/>
          <w:sz w:val="20"/>
          <w:szCs w:val="20"/>
        </w:rPr>
      </w:pPr>
      <w:r>
        <w:rPr>
          <w:rStyle w:val="FootnoteReference"/>
        </w:rPr>
        <w:footnoteRef/>
      </w:r>
      <w:sdt>
        <w:sdtPr>
          <w:tag w:val="goog_rdk_0"/>
          <w:id w:val="832103478"/>
        </w:sdtPr>
        <w:sdtContent>
          <w:r>
            <w:rPr>
              <w:rFonts w:ascii="Arial Unicode MS" w:eastAsia="Arial Unicode MS" w:hAnsi="Arial Unicode MS" w:cs="Arial Unicode MS"/>
              <w:sz w:val="20"/>
              <w:szCs w:val="20"/>
            </w:rPr>
            <w:t xml:space="preserve"> The research project is funded by the Universidade do Estado do Rio de Janeiro, through the Programa PROCIÊNCIA; and by FAPERJ—Fundação Carlos Chagas Filho de Amparo à Pesquisa do Estado do Rio de Janeiro, through a scientiﬁc initiation grant. The project was approved by the Ethics Committee of the Universidade do Estado do Rio de Janeiro, under the number CAAE 32251620.0.0000.5282.</w:t>
          </w:r>
        </w:sdtContent>
      </w:sdt>
    </w:p>
  </w:footnote>
  <w:footnote w:id="2">
    <w:p w14:paraId="00000089" w14:textId="77777777" w:rsidR="00B246FA" w:rsidRDefault="00000000">
      <w:pPr>
        <w:spacing w:after="0" w:line="240" w:lineRule="auto"/>
        <w:rPr>
          <w:rFonts w:ascii="Verdana" w:eastAsia="Verdana" w:hAnsi="Verdana" w:cs="Verdana"/>
          <w:sz w:val="20"/>
          <w:szCs w:val="20"/>
        </w:rPr>
      </w:pPr>
      <w:r>
        <w:rPr>
          <w:rStyle w:val="FootnoteReference"/>
        </w:rPr>
        <w:footnoteRef/>
      </w:r>
      <w:r>
        <w:rPr>
          <w:rFonts w:ascii="Verdana" w:eastAsia="Verdana" w:hAnsi="Verdana" w:cs="Verdana"/>
          <w:sz w:val="20"/>
          <w:szCs w:val="20"/>
        </w:rPr>
        <w:t xml:space="preserve">  In Brazil, about 81% of students (children and adolescents) go to publicly funded schools (which can be municipal, state, or federal-funded schools), and only 19% go to private schools (INEP, 2023).</w:t>
      </w:r>
    </w:p>
    <w:p w14:paraId="0000008A" w14:textId="77777777" w:rsidR="00B246FA" w:rsidRDefault="00B246FA">
      <w:pPr>
        <w:spacing w:after="0" w:line="240" w:lineRule="auto"/>
        <w:rPr>
          <w:sz w:val="20"/>
          <w:szCs w:val="20"/>
        </w:rPr>
      </w:pPr>
    </w:p>
  </w:footnote>
  <w:footnote w:id="3">
    <w:p w14:paraId="0000008B" w14:textId="77777777" w:rsidR="00B246FA" w:rsidRDefault="00000000">
      <w:pPr>
        <w:spacing w:after="0" w:line="240" w:lineRule="auto"/>
        <w:rPr>
          <w:rFonts w:ascii="Verdana" w:eastAsia="Verdana" w:hAnsi="Verdana" w:cs="Verdana"/>
          <w:sz w:val="20"/>
          <w:szCs w:val="20"/>
        </w:rPr>
      </w:pPr>
      <w:r>
        <w:rPr>
          <w:rStyle w:val="FootnoteReference"/>
        </w:rPr>
        <w:footnoteRef/>
      </w:r>
      <w:r>
        <w:rPr>
          <w:rFonts w:ascii="Verdana" w:eastAsia="Verdana" w:hAnsi="Verdana" w:cs="Verdana"/>
          <w:sz w:val="20"/>
          <w:szCs w:val="20"/>
        </w:rPr>
        <w:t xml:space="preserve"> In Brazil, public schools are free and funded by federal, state, or municipal governments. They cater for mostly poorer students, and provide food and school supplies for their students, as part of national public education policies. Private schools are paid for and cater for the middle and upper classes. Data from the INEP 2023 School Census indicates that there are 47.3 million students enrolled in the country, considering all stages of education, distributed in 178,500 schools. Municipal schools are mainly responsible for the 1</w:t>
      </w:r>
      <w:r>
        <w:rPr>
          <w:rFonts w:ascii="Verdana" w:eastAsia="Verdana" w:hAnsi="Verdana" w:cs="Verdana"/>
          <w:sz w:val="20"/>
          <w:szCs w:val="20"/>
          <w:vertAlign w:val="superscript"/>
        </w:rPr>
        <w:t>st</w:t>
      </w:r>
      <w:r>
        <w:rPr>
          <w:rFonts w:ascii="Verdana" w:eastAsia="Verdana" w:hAnsi="Verdana" w:cs="Verdana"/>
          <w:sz w:val="20"/>
          <w:szCs w:val="20"/>
        </w:rPr>
        <w:t xml:space="preserve"> to 5</w:t>
      </w:r>
      <w:r>
        <w:rPr>
          <w:rFonts w:ascii="Verdana" w:eastAsia="Verdana" w:hAnsi="Verdana" w:cs="Verdana"/>
          <w:sz w:val="20"/>
          <w:szCs w:val="20"/>
          <w:vertAlign w:val="superscript"/>
        </w:rPr>
        <w:t>th</w:t>
      </w:r>
      <w:r>
        <w:rPr>
          <w:rFonts w:ascii="Verdana" w:eastAsia="Verdana" w:hAnsi="Verdana" w:cs="Verdana"/>
          <w:sz w:val="20"/>
          <w:szCs w:val="20"/>
        </w:rPr>
        <w:t xml:space="preserve"> grades, with 10 million students enrolled (69.5%), which represents 86.1% of the public system. At this stage, 19.3% of students attend private schools. In the final years of elementary school (grades 6 to 9), the public school system accounts for 83.5% of enrollments, compared to 16.3% in private schools.</w:t>
      </w:r>
    </w:p>
  </w:footnote>
  <w:footnote w:id="4">
    <w:p w14:paraId="0000008C" w14:textId="77777777" w:rsidR="00B246FA" w:rsidRDefault="00000000">
      <w:pPr>
        <w:spacing w:after="0" w:line="240" w:lineRule="auto"/>
        <w:rPr>
          <w:rFonts w:ascii="Verdana" w:eastAsia="Verdana" w:hAnsi="Verdana" w:cs="Verdana"/>
          <w:sz w:val="20"/>
          <w:szCs w:val="20"/>
        </w:rPr>
      </w:pPr>
      <w:r>
        <w:rPr>
          <w:rStyle w:val="FootnoteReference"/>
        </w:rPr>
        <w:footnoteRef/>
      </w:r>
      <w:r>
        <w:rPr>
          <w:sz w:val="20"/>
          <w:szCs w:val="20"/>
        </w:rPr>
        <w:t xml:space="preserve"> </w:t>
      </w:r>
      <w:r>
        <w:rPr>
          <w:rFonts w:ascii="Verdana" w:eastAsia="Verdana" w:hAnsi="Verdana" w:cs="Verdana"/>
          <w:sz w:val="20"/>
          <w:szCs w:val="20"/>
        </w:rPr>
        <w:t>This activity consists of handing out a sheet of paper to each student and asking them to draw a river telling the main stories of their life up to the present moment, in a sort of timeline, a stream of events.</w:t>
      </w:r>
    </w:p>
  </w:footnote>
  <w:footnote w:id="5">
    <w:p w14:paraId="0000008D" w14:textId="77777777" w:rsidR="00B246FA" w:rsidRDefault="00000000">
      <w:pPr>
        <w:spacing w:after="0" w:line="240" w:lineRule="auto"/>
        <w:rPr>
          <w:rFonts w:ascii="Verdana" w:eastAsia="Verdana" w:hAnsi="Verdana" w:cs="Verdana"/>
          <w:sz w:val="20"/>
          <w:szCs w:val="20"/>
        </w:rPr>
      </w:pPr>
      <w:r>
        <w:rPr>
          <w:rStyle w:val="FootnoteReference"/>
        </w:rPr>
        <w:footnoteRef/>
      </w:r>
      <w:r>
        <w:rPr>
          <w:rFonts w:ascii="Verdana" w:eastAsia="Verdana" w:hAnsi="Verdana" w:cs="Verdana"/>
          <w:sz w:val="20"/>
          <w:szCs w:val="20"/>
        </w:rPr>
        <w:t xml:space="preserve"> We would like to thank professor Erica Burman for this insight during the discussion of a previous version of this paper at the Child as Method Symposium, realized at The University of Manchester in 2023.</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246FA"/>
    <w:rsid w:val="00533F15"/>
    <w:rsid w:val="007F07A7"/>
    <w:rsid w:val="00AB0FA6"/>
    <w:rsid w:val="00B246F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docId w15:val="{94861910-30D4-4474-B2E9-4326A85D1F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pt-BR"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F74DF"/>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ListParagraph">
    <w:name w:val="List Paragraph"/>
    <w:basedOn w:val="Normal"/>
    <w:uiPriority w:val="34"/>
    <w:qFormat/>
    <w:rsid w:val="00DF74DF"/>
    <w:pPr>
      <w:ind w:left="720"/>
      <w:contextualSpacing/>
    </w:pPr>
  </w:style>
  <w:style w:type="paragraph" w:styleId="FootnoteText">
    <w:name w:val="footnote text"/>
    <w:basedOn w:val="Normal"/>
    <w:link w:val="FootnoteTextChar"/>
    <w:uiPriority w:val="99"/>
    <w:semiHidden/>
    <w:unhideWhenUsed/>
    <w:rsid w:val="004E1122"/>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E1122"/>
    <w:rPr>
      <w:sz w:val="20"/>
      <w:szCs w:val="20"/>
    </w:rPr>
  </w:style>
  <w:style w:type="character" w:styleId="FootnoteReference">
    <w:name w:val="footnote reference"/>
    <w:basedOn w:val="DefaultParagraphFont"/>
    <w:uiPriority w:val="99"/>
    <w:semiHidden/>
    <w:unhideWhenUsed/>
    <w:rsid w:val="004E1122"/>
    <w:rPr>
      <w:vertAlign w:val="superscript"/>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doi.org/10.12957/epp.2022.71744" TargetMode="External"/><Relationship Id="rId13" Type="http://schemas.openxmlformats.org/officeDocument/2006/relationships/hyperlink" Target="https://dx.doi.org/10.21142/des-1502-2023-0018" TargetMode="External"/><Relationship Id="rId18" Type="http://schemas.openxmlformats.org/officeDocument/2006/relationships/hyperlink" Target="https://doi.org/10.14507/epaa.31.7346"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https://www.gov.br/inep/pt-br/assuntos/noticias/censo-escolar/mec-e-inep-divulgam-resultados-do-censo-escolar-2023" TargetMode="External"/><Relationship Id="rId12" Type="http://schemas.openxmlformats.org/officeDocument/2006/relationships/hyperlink" Target="https://repositorio.ucp.pt/handle/10400.14/39268" TargetMode="External"/><Relationship Id="rId17" Type="http://schemas.openxmlformats.org/officeDocument/2006/relationships/hyperlink" Target="https://doi.org/10.12957/childphilo.2018.30540" TargetMode="External"/><Relationship Id="rId2" Type="http://schemas.openxmlformats.org/officeDocument/2006/relationships/styles" Target="styles.xml"/><Relationship Id="rId16" Type="http://schemas.openxmlformats.org/officeDocument/2006/relationships/hyperlink" Target="https://www.bdtd.uerj.br:8443/handle/1/22005"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s://doi.org/10.30578/nomadas.n52a7" TargetMode="External"/><Relationship Id="rId5" Type="http://schemas.openxmlformats.org/officeDocument/2006/relationships/footnotes" Target="footnotes.xml"/><Relationship Id="rId15" Type="http://schemas.openxmlformats.org/officeDocument/2006/relationships/hyperlink" Target="https://doi.org/10.14507/epaa.25.2835" TargetMode="External"/><Relationship Id="rId10" Type="http://schemas.openxmlformats.org/officeDocument/2006/relationships/hyperlink" Target="https://www.seer.ufrgs.br/educacaoerealidade/article/viewFile/48688/30332" TargetMode="External"/><Relationship Id="rId19" Type="http://schemas.openxmlformats.org/officeDocument/2006/relationships/hyperlink" Target="http://dx.doi.org/10.11606/issn.1981-1624.v26i1p17-28" TargetMode="External"/><Relationship Id="rId4" Type="http://schemas.openxmlformats.org/officeDocument/2006/relationships/webSettings" Target="webSettings.xml"/><Relationship Id="rId9" Type="http://schemas.openxmlformats.org/officeDocument/2006/relationships/hyperlink" Target="https://doi.org/10.5007/1980-4512.2020v22nespp1420" TargetMode="External"/><Relationship Id="rId14" Type="http://schemas.openxmlformats.org/officeDocument/2006/relationships/hyperlink" Target="https://doi.org/10.22456/2238-152X.31539"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Oho0b7oJaW5BUnBtqnS/bu5POkg==">CgMxLjAaJgoBMBIhCh8IB0IbCgdWZXJkYW5hEhBBcmlhbCBVbmljb2RlIE1TOAByITE4bDVNX1hyaC16UEdwOFJfYk9HX3NVWEFQNHhFd3pNYw==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30</Pages>
  <Words>8565</Words>
  <Characters>48821</Characters>
  <Application>Microsoft Office Word</Application>
  <DocSecurity>0</DocSecurity>
  <Lines>406</Lines>
  <Paragraphs>114</Paragraphs>
  <ScaleCrop>false</ScaleCrop>
  <Company/>
  <LinksUpToDate>false</LinksUpToDate>
  <CharactersWithSpaces>57272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Cassal, Luan</dc:creator>
  <cp:lastModifiedBy>Ian Parker</cp:lastModifiedBy>
  <cp:revision>2</cp:revision>
  <dcterms:created xsi:type="dcterms:W3CDTF">2025-04-11T11:17:00Z</dcterms:created>
  <dcterms:modified xsi:type="dcterms:W3CDTF">2025-04-11T11:17:00Z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0x0101003D3218030E9FF54C994E84F165A95BF3</vt:lpwstr>
  </property>
</Properties>
</file>