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FFE8C1" w14:textId="09BDFE45" w:rsidR="007562CB" w:rsidRDefault="00000000">
      <w:pPr>
        <w:spacing w:after="0" w:line="360" w:lineRule="auto"/>
        <w:rPr>
          <w:rFonts w:ascii="Verdana" w:hAnsi="Verdana"/>
          <w:sz w:val="20"/>
          <w:szCs w:val="20"/>
        </w:rPr>
      </w:pPr>
      <w:r>
        <w:rPr>
          <w:rFonts w:ascii="Verdana" w:hAnsi="Verdana" w:cs="Tahoma"/>
          <w:b/>
          <w:bCs/>
          <w:sz w:val="20"/>
          <w:szCs w:val="20"/>
        </w:rPr>
        <w:t>CHILDHOO</w:t>
      </w:r>
      <w:r w:rsidR="00B048E0">
        <w:rPr>
          <w:rFonts w:ascii="Verdana" w:hAnsi="Verdana" w:cs="Tahoma"/>
          <w:b/>
          <w:bCs/>
          <w:sz w:val="20"/>
          <w:szCs w:val="20"/>
        </w:rPr>
        <w:t>D</w:t>
      </w:r>
      <w:r>
        <w:rPr>
          <w:rFonts w:ascii="Verdana" w:hAnsi="Verdana" w:cs="Tahoma"/>
          <w:b/>
          <w:bCs/>
          <w:sz w:val="20"/>
          <w:szCs w:val="20"/>
        </w:rPr>
        <w:t xml:space="preserve"> AND SLAVERY IN BRAZIL</w:t>
      </w:r>
    </w:p>
    <w:p w14:paraId="2691239C" w14:textId="77777777" w:rsidR="007562CB" w:rsidRDefault="007562CB">
      <w:pPr>
        <w:spacing w:after="0" w:line="360" w:lineRule="auto"/>
        <w:rPr>
          <w:rFonts w:cs="Tahoma"/>
          <w:b/>
          <w:bCs/>
        </w:rPr>
      </w:pPr>
    </w:p>
    <w:p w14:paraId="290FD5F0" w14:textId="77777777" w:rsidR="007562CB" w:rsidRDefault="00000000">
      <w:pPr>
        <w:spacing w:after="0" w:line="360" w:lineRule="auto"/>
        <w:rPr>
          <w:rFonts w:ascii="Verdana" w:hAnsi="Verdana"/>
          <w:sz w:val="20"/>
          <w:szCs w:val="20"/>
        </w:rPr>
      </w:pPr>
      <w:r>
        <w:rPr>
          <w:rFonts w:ascii="Verdana" w:hAnsi="Verdana" w:cs="Tahoma"/>
          <w:b/>
          <w:bCs/>
          <w:sz w:val="20"/>
          <w:szCs w:val="20"/>
        </w:rPr>
        <w:t>Berenice Bento is an associate professor at the Department of Sociology at the</w:t>
      </w:r>
    </w:p>
    <w:p w14:paraId="5F8F2FDA" w14:textId="77777777" w:rsidR="007562CB" w:rsidRDefault="00000000">
      <w:pPr>
        <w:spacing w:after="0" w:line="360" w:lineRule="auto"/>
        <w:rPr>
          <w:rFonts w:ascii="Verdana" w:hAnsi="Verdana"/>
          <w:sz w:val="20"/>
          <w:szCs w:val="20"/>
        </w:rPr>
      </w:pPr>
      <w:r>
        <w:rPr>
          <w:rFonts w:ascii="Verdana" w:hAnsi="Verdana" w:cs="Tahoma"/>
          <w:b/>
          <w:bCs/>
          <w:sz w:val="20"/>
          <w:szCs w:val="20"/>
        </w:rPr>
        <w:t>University of Brasília (Brazil) and a researcher at the National Research Council</w:t>
      </w:r>
    </w:p>
    <w:p w14:paraId="132BABF8" w14:textId="77777777" w:rsidR="007562CB" w:rsidRDefault="00000000">
      <w:pPr>
        <w:spacing w:after="0" w:line="360" w:lineRule="auto"/>
        <w:rPr>
          <w:rFonts w:ascii="Verdana" w:hAnsi="Verdana"/>
          <w:sz w:val="20"/>
          <w:szCs w:val="20"/>
        </w:rPr>
      </w:pPr>
      <w:r>
        <w:rPr>
          <w:rFonts w:ascii="Verdana" w:hAnsi="Verdana" w:cs="Tahoma"/>
          <w:b/>
          <w:bCs/>
          <w:sz w:val="20"/>
          <w:szCs w:val="20"/>
        </w:rPr>
        <w:t>(CNPq)</w:t>
      </w:r>
    </w:p>
    <w:p w14:paraId="0D71008B" w14:textId="77777777" w:rsidR="007562CB" w:rsidRDefault="00000000">
      <w:pPr>
        <w:spacing w:after="0" w:line="360" w:lineRule="auto"/>
        <w:rPr>
          <w:rFonts w:ascii="Verdana" w:hAnsi="Verdana"/>
          <w:sz w:val="20"/>
          <w:szCs w:val="20"/>
        </w:rPr>
      </w:pPr>
      <w:r>
        <w:rPr>
          <w:rFonts w:ascii="Verdana" w:hAnsi="Verdana" w:cs="Tahoma"/>
          <w:b/>
          <w:bCs/>
          <w:sz w:val="20"/>
          <w:szCs w:val="20"/>
        </w:rPr>
        <w:t>Berenice.bento1@gmail.com</w:t>
      </w:r>
    </w:p>
    <w:p w14:paraId="432E97DB" w14:textId="77777777" w:rsidR="007562CB" w:rsidRDefault="007562CB">
      <w:pPr>
        <w:spacing w:after="0" w:line="360" w:lineRule="auto"/>
        <w:rPr>
          <w:rFonts w:ascii="Verdana" w:hAnsi="Verdana" w:cs="Tahoma"/>
          <w:sz w:val="20"/>
          <w:szCs w:val="20"/>
        </w:rPr>
      </w:pPr>
    </w:p>
    <w:p w14:paraId="6D8491B6" w14:textId="77777777" w:rsidR="007562CB" w:rsidRDefault="00000000">
      <w:pPr>
        <w:spacing w:after="0" w:line="360" w:lineRule="auto"/>
        <w:rPr>
          <w:rFonts w:ascii="Verdana" w:hAnsi="Verdana"/>
        </w:rPr>
      </w:pPr>
      <w:r>
        <w:rPr>
          <w:rFonts w:ascii="Verdana" w:hAnsi="Verdana" w:cs="Tahoma"/>
          <w:b/>
          <w:bCs/>
          <w:sz w:val="24"/>
          <w:szCs w:val="24"/>
        </w:rPr>
        <w:t>Abstract</w:t>
      </w:r>
    </w:p>
    <w:p w14:paraId="11D6D534" w14:textId="77777777" w:rsidR="007562CB" w:rsidRDefault="007562CB">
      <w:pPr>
        <w:spacing w:after="0" w:line="360" w:lineRule="auto"/>
        <w:rPr>
          <w:rFonts w:cs="Tahoma"/>
          <w:sz w:val="24"/>
          <w:szCs w:val="24"/>
        </w:rPr>
      </w:pPr>
    </w:p>
    <w:p w14:paraId="79BDD686" w14:textId="77777777" w:rsidR="007562CB" w:rsidRDefault="00000000">
      <w:pPr>
        <w:shd w:val="clear" w:color="auto" w:fill="FFFFFF"/>
        <w:spacing w:after="0" w:line="360" w:lineRule="auto"/>
        <w:jc w:val="both"/>
        <w:rPr>
          <w:rFonts w:ascii="Verdana" w:hAnsi="Verdana" w:cs="Tahoma"/>
          <w:sz w:val="24"/>
          <w:szCs w:val="24"/>
        </w:rPr>
      </w:pPr>
      <w:r>
        <w:rPr>
          <w:rFonts w:ascii="Verdana" w:eastAsia="Times New Roman" w:hAnsi="Verdana" w:cs="Times New Roman"/>
          <w:color w:val="000000"/>
          <w:sz w:val="24"/>
          <w:szCs w:val="24"/>
          <w:lang w:val="en-US"/>
        </w:rPr>
        <w:t xml:space="preserve">Abstract: </w:t>
      </w:r>
      <w:r>
        <w:rPr>
          <w:rFonts w:ascii="Verdana" w:eastAsia="Times New Roman" w:hAnsi="Verdana" w:cs="Times New Roman"/>
          <w:color w:val="222222"/>
          <w:sz w:val="24"/>
          <w:szCs w:val="24"/>
          <w:lang w:val="en-US"/>
        </w:rPr>
        <w:t>In 1871, the Free Womb Law was approved in Brazil. Among other points, the law determined that children born from a slave womb would become free. The mothers, however, would remain the property of the slaveholders. During debates in parliament, there is a complete absence of reference to the father figure. How is it possible to think about early childhood without the bonds with the mother/father (or with caregivers), when it is the condition of absolute precariousness that defines this moment of our existence? The supposed recognition of the citizenship status of black children was a bargaining chip for not belonging to a family. This was the recognition of the Brazilian State to the first generation of Brazilian black children: the prohibition of belonging to a family. The research I did had as its primary source of analysis the Annals of the Brazilian Parliament (from May to September 1871). The objective of the article will be to analyze the place of black childhood before and after the approval of the Free Womb Law.</w:t>
      </w:r>
    </w:p>
    <w:p w14:paraId="02DBBA16" w14:textId="77777777" w:rsidR="007562CB" w:rsidRDefault="007562CB">
      <w:pPr>
        <w:shd w:val="clear" w:color="auto" w:fill="FFFFFF"/>
        <w:spacing w:after="0" w:line="360" w:lineRule="auto"/>
        <w:jc w:val="both"/>
        <w:rPr>
          <w:rFonts w:ascii="Times New Roman" w:eastAsia="Times New Roman" w:hAnsi="Times New Roman" w:cs="Times New Roman"/>
          <w:color w:val="222222"/>
          <w:lang w:val="en-US"/>
        </w:rPr>
      </w:pPr>
    </w:p>
    <w:p w14:paraId="427E8495" w14:textId="77777777" w:rsidR="007562CB" w:rsidRDefault="00000000">
      <w:pPr>
        <w:spacing w:after="0" w:line="360" w:lineRule="auto"/>
        <w:rPr>
          <w:rFonts w:ascii="Verdana" w:hAnsi="Verdana"/>
        </w:rPr>
      </w:pPr>
      <w:r>
        <w:rPr>
          <w:rFonts w:ascii="Verdana" w:hAnsi="Verdana" w:cs="Tahoma"/>
          <w:b/>
          <w:bCs/>
          <w:sz w:val="24"/>
          <w:szCs w:val="24"/>
        </w:rPr>
        <w:t xml:space="preserve">Keywords: </w:t>
      </w:r>
      <w:r>
        <w:rPr>
          <w:rFonts w:ascii="Verdana" w:eastAsia="Times New Roman" w:hAnsi="Verdana" w:cs="Times New Roman"/>
          <w:color w:val="000000"/>
          <w:sz w:val="24"/>
          <w:szCs w:val="24"/>
          <w:lang w:val="en-US"/>
        </w:rPr>
        <w:t>slavery, State, gender, Free Womb Law</w:t>
      </w:r>
    </w:p>
    <w:p w14:paraId="0AB11084" w14:textId="77777777" w:rsidR="007562CB" w:rsidRDefault="007562CB">
      <w:pPr>
        <w:spacing w:after="0" w:line="360" w:lineRule="auto"/>
        <w:rPr>
          <w:rFonts w:ascii="Verdana" w:hAnsi="Verdana" w:cs="Tahoma"/>
          <w:sz w:val="24"/>
          <w:szCs w:val="24"/>
        </w:rPr>
      </w:pPr>
    </w:p>
    <w:p w14:paraId="45D34DE7" w14:textId="77777777" w:rsidR="007562CB" w:rsidRDefault="007562CB">
      <w:pPr>
        <w:spacing w:after="0" w:line="360" w:lineRule="auto"/>
        <w:rPr>
          <w:rFonts w:ascii="Verdana" w:hAnsi="Verdana" w:cs="Tahoma"/>
          <w:b/>
          <w:bCs/>
          <w:sz w:val="24"/>
          <w:szCs w:val="24"/>
        </w:rPr>
      </w:pPr>
    </w:p>
    <w:p w14:paraId="5660685D" w14:textId="77777777" w:rsidR="007562CB" w:rsidRDefault="00000000">
      <w:pPr>
        <w:spacing w:after="0" w:line="360" w:lineRule="auto"/>
      </w:pPr>
      <w:r>
        <w:rPr>
          <w:rFonts w:ascii="Verdana" w:hAnsi="Verdana" w:cs="Tahoma"/>
          <w:b/>
          <w:bCs/>
          <w:sz w:val="24"/>
          <w:szCs w:val="24"/>
        </w:rPr>
        <w:t>Conflict of interest</w:t>
      </w:r>
      <w:r>
        <w:rPr>
          <w:rFonts w:ascii="Verdana" w:hAnsi="Verdana" w:cs="Tahoma"/>
          <w:sz w:val="24"/>
          <w:szCs w:val="24"/>
        </w:rPr>
        <w:t xml:space="preserve">: </w:t>
      </w:r>
    </w:p>
    <w:p w14:paraId="4B90A2A2" w14:textId="77777777" w:rsidR="007562CB" w:rsidRDefault="00000000">
      <w:pPr>
        <w:spacing w:after="0" w:line="360" w:lineRule="auto"/>
      </w:pPr>
      <w:r>
        <w:rPr>
          <w:rFonts w:ascii="Verdana" w:hAnsi="Verdana" w:cs="Tahoma"/>
          <w:sz w:val="24"/>
          <w:szCs w:val="24"/>
        </w:rPr>
        <w:t>The authorshave no conflicts of interest to declare that are relevant to the content of this article.</w:t>
      </w:r>
    </w:p>
    <w:p w14:paraId="06BBFB72" w14:textId="77777777" w:rsidR="007562CB" w:rsidRDefault="007562CB">
      <w:pPr>
        <w:spacing w:after="0" w:line="360" w:lineRule="auto"/>
        <w:rPr>
          <w:rFonts w:ascii="Verdana" w:hAnsi="Verdana" w:cs="Tahoma"/>
          <w:sz w:val="24"/>
          <w:szCs w:val="24"/>
        </w:rPr>
      </w:pPr>
    </w:p>
    <w:p w14:paraId="74A9E8AD" w14:textId="77777777" w:rsidR="007562CB" w:rsidRDefault="007562CB">
      <w:pPr>
        <w:spacing w:after="0" w:line="360" w:lineRule="auto"/>
        <w:rPr>
          <w:rFonts w:ascii="Verdana" w:hAnsi="Verdana" w:cs="Tahoma"/>
          <w:sz w:val="24"/>
          <w:szCs w:val="24"/>
        </w:rPr>
      </w:pPr>
    </w:p>
    <w:p w14:paraId="355031C1" w14:textId="77777777" w:rsidR="007562CB" w:rsidRDefault="007562CB">
      <w:pPr>
        <w:spacing w:after="0" w:line="360" w:lineRule="auto"/>
        <w:rPr>
          <w:rFonts w:ascii="Verdana" w:hAnsi="Verdana" w:cs="Tahoma"/>
          <w:sz w:val="24"/>
          <w:szCs w:val="24"/>
        </w:rPr>
      </w:pPr>
    </w:p>
    <w:p w14:paraId="60918B28" w14:textId="77777777" w:rsidR="007562CB" w:rsidRDefault="00000000">
      <w:pPr>
        <w:pStyle w:val="P68B1DB1-Normal2"/>
        <w:spacing w:line="360" w:lineRule="auto"/>
        <w:jc w:val="both"/>
        <w:rPr>
          <w:rFonts w:ascii="Verdana" w:hAnsi="Verdana"/>
        </w:rPr>
      </w:pPr>
      <w:r>
        <w:rPr>
          <w:rFonts w:ascii="Verdana" w:hAnsi="Verdana"/>
          <w:b/>
          <w:szCs w:val="24"/>
          <w:lang w:val="en-US"/>
        </w:rPr>
        <w:t>Introduction</w:t>
      </w:r>
    </w:p>
    <w:p w14:paraId="4A9479C3" w14:textId="77777777" w:rsidR="007562CB" w:rsidRDefault="007562CB">
      <w:pPr>
        <w:pStyle w:val="P68B1DB1-Normal2"/>
        <w:spacing w:line="360" w:lineRule="auto"/>
        <w:jc w:val="both"/>
        <w:rPr>
          <w:rFonts w:ascii="Verdana" w:hAnsi="Verdana"/>
          <w:b/>
          <w:sz w:val="24"/>
          <w:szCs w:val="24"/>
          <w:lang w:val="en-US"/>
        </w:rPr>
      </w:pPr>
    </w:p>
    <w:p w14:paraId="3D100DD3" w14:textId="77777777" w:rsidR="007562CB" w:rsidRDefault="00000000">
      <w:pPr>
        <w:pStyle w:val="P68B1DB1-Normal2"/>
        <w:spacing w:line="360" w:lineRule="auto"/>
        <w:ind w:firstLine="709"/>
        <w:jc w:val="both"/>
        <w:rPr>
          <w:rFonts w:ascii="Verdana" w:hAnsi="Verdana"/>
          <w:sz w:val="24"/>
          <w:szCs w:val="24"/>
        </w:rPr>
      </w:pPr>
      <w:r>
        <w:rPr>
          <w:rFonts w:ascii="Verdana" w:hAnsi="Verdana"/>
          <w:i/>
          <w:sz w:val="24"/>
          <w:szCs w:val="24"/>
          <w:lang w:val="en-US"/>
        </w:rPr>
        <w:t>“The matter is of transcendent importance. All speakers agreed in declaring that no other more serious has occupied the Brazilian parliament since it exists.”</w:t>
      </w:r>
      <w:r>
        <w:rPr>
          <w:rFonts w:ascii="Verdana" w:hAnsi="Verdana"/>
          <w:sz w:val="24"/>
          <w:szCs w:val="24"/>
          <w:lang w:val="en-US"/>
        </w:rPr>
        <w:t xml:space="preserve"> This is how Senator Antão defined the nature of the debates around the proposition that aimed to “liberate the womb” of enslaved women. It was the year 1871. For the first time, a bill that aimed to put an end to an institution that guaranteed for 371 years the reproduction of slavery in Brazil was being discussed. Being born to an enslaved woman determined the fate of the child. It was a Roman principle (</w:t>
      </w:r>
      <w:r>
        <w:rPr>
          <w:rFonts w:ascii="Verdana" w:hAnsi="Verdana"/>
          <w:i/>
          <w:sz w:val="24"/>
          <w:szCs w:val="24"/>
          <w:lang w:val="en-US"/>
        </w:rPr>
        <w:t>partus sequitur ventrem</w:t>
      </w:r>
      <w:r>
        <w:rPr>
          <w:rFonts w:ascii="Verdana" w:hAnsi="Verdana"/>
          <w:sz w:val="24"/>
          <w:szCs w:val="24"/>
          <w:lang w:val="en-US"/>
        </w:rPr>
        <w:t xml:space="preserve"> – childbirth follows the womb) in which free women would bring into the world free children in the condition of “naive”. Enslaved women delivered enslaved offspring.</w:t>
      </w:r>
    </w:p>
    <w:p w14:paraId="2BEF2548"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In 1871 Brazilian parliamentarians fought in apocalyptic speeches around this bill. However, there was absolutely nothing new in this proposal. In almost all Spanish current and former colonies, in several American and Canadian states, the option had already been made for the gradual, controlled, and future abolition. Almost a century earlier, in 1773, the Kingdom of Portugal had already determined that no more enslaved people would be born in the metropolis (attention: I said in the metropolis. Slavery was only abolished in the Portuguese colonies in 1869). Brazil and Cuba were the last countries to pass laws that interrupted the pr</w:t>
      </w:r>
      <w:r>
        <w:rPr>
          <w:rFonts w:ascii="Verdana" w:hAnsi="Verdana"/>
          <w:color w:val="000000" w:themeColor="text1"/>
          <w:sz w:val="24"/>
          <w:szCs w:val="24"/>
          <w:lang w:val="en-US"/>
        </w:rPr>
        <w:t xml:space="preserve">inciple of </w:t>
      </w:r>
      <w:r>
        <w:rPr>
          <w:rFonts w:ascii="Verdana" w:hAnsi="Verdana"/>
          <w:i/>
          <w:color w:val="000000" w:themeColor="text1"/>
          <w:sz w:val="24"/>
          <w:szCs w:val="24"/>
          <w:lang w:val="en-US"/>
        </w:rPr>
        <w:t>partus sequitur ventrem</w:t>
      </w:r>
      <w:r>
        <w:rPr>
          <w:rFonts w:ascii="Verdana" w:hAnsi="Verdana"/>
          <w:color w:val="000000" w:themeColor="text1"/>
          <w:sz w:val="24"/>
          <w:szCs w:val="24"/>
          <w:lang w:val="en-US"/>
        </w:rPr>
        <w:t>.</w:t>
      </w:r>
    </w:p>
    <w:p w14:paraId="1075F587" w14:textId="77777777" w:rsidR="007562CB" w:rsidRDefault="00000000">
      <w:pPr>
        <w:pStyle w:val="P68B1DB1-Normal3"/>
        <w:spacing w:line="360" w:lineRule="auto"/>
        <w:ind w:firstLine="708"/>
        <w:jc w:val="both"/>
        <w:rPr>
          <w:rFonts w:ascii="Verdana" w:hAnsi="Verdana"/>
          <w:sz w:val="24"/>
          <w:szCs w:val="24"/>
        </w:rPr>
      </w:pPr>
      <w:r>
        <w:rPr>
          <w:rFonts w:ascii="Verdana" w:eastAsia="Times New Roman" w:hAnsi="Verdana" w:cs="Times New Roman"/>
          <w:color w:val="000000" w:themeColor="text1"/>
          <w:sz w:val="24"/>
          <w:szCs w:val="24"/>
          <w:lang w:val="en-US"/>
        </w:rPr>
        <w:t>The research I conducted aimed to analyze the Annals of the Brazilian Parliament of the legislature of 1871. The methodology I used in reading and systematization was based on the articulation of Foucauldian (1989, 1999, 2003) discourse analysis</w:t>
      </w:r>
      <w:sdt>
        <w:sdtPr>
          <w:id w:val="1692627960"/>
        </w:sdtPr>
        <w:sdtContent>
          <w:r>
            <w:rPr>
              <w:rFonts w:ascii="Verdana" w:hAnsi="Verdana" w:cs="Times New Roman"/>
              <w:color w:val="000000" w:themeColor="text1"/>
              <w:sz w:val="24"/>
              <w:szCs w:val="24"/>
              <w:lang w:val="en-US"/>
            </w:rPr>
            <w:t xml:space="preserve">,  </w:t>
          </w:r>
        </w:sdtContent>
      </w:sdt>
      <w:r>
        <w:rPr>
          <w:rFonts w:ascii="Verdana" w:eastAsia="Times New Roman" w:hAnsi="Verdana" w:cs="Times New Roman"/>
          <w:color w:val="000000" w:themeColor="text1"/>
          <w:sz w:val="24"/>
          <w:szCs w:val="24"/>
          <w:lang w:val="en-US"/>
        </w:rPr>
        <w:t xml:space="preserve"> on the theses on Walter Benjamin’s (1985) concept of history, and on historical counterpoints according to Edward Said (2020). In general terms, I did not confine myself to </w:t>
      </w:r>
      <w:r>
        <w:rPr>
          <w:rFonts w:ascii="Verdana" w:eastAsia="Times New Roman" w:hAnsi="Verdana" w:cs="Times New Roman"/>
          <w:color w:val="000000" w:themeColor="text1"/>
          <w:sz w:val="24"/>
          <w:szCs w:val="24"/>
          <w:lang w:val="en-US"/>
        </w:rPr>
        <w:lastRenderedPageBreak/>
        <w:t xml:space="preserve">examining the pronouncements. I had to make numerous counterpoints, such as an immersion in the studies on the revolts of enslaved people to understand </w:t>
      </w:r>
      <w:r>
        <w:rPr>
          <w:rFonts w:ascii="Verdana" w:eastAsia="Times New Roman" w:hAnsi="Verdana" w:cs="Times New Roman"/>
          <w:sz w:val="24"/>
          <w:szCs w:val="24"/>
          <w:lang w:val="en-US"/>
        </w:rPr>
        <w:t xml:space="preserve">why those parliamentarians were filled with a deep fear about the effects that such law would have on the discipline of their “planters” (as the set of enslaved people belonging to a lady or a lord was named). In the counterpoint reading I understood that, although there were no reports of facts in the speeches, the parliamentarians were right to be afraid, since there was not a single moment during the entire slave period in which the climate was not one of racial war. The articulation of these three theoretical layers led me to open other questions that were absent in the initial phase of the research. </w:t>
      </w:r>
    </w:p>
    <w:p w14:paraId="185902A1"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 xml:space="preserve">I began to observe that there were being woven structural characteristics of the political and social culture of contemporary Brazil, such as social authorization for parents to abandon their sons and daughters. Although today that authorization can be analyzed transversally in Brazilian society, it had its genesis in the disposability of people, especially children, during slavery. </w:t>
      </w:r>
    </w:p>
    <w:p w14:paraId="29C69203"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 xml:space="preserve"> What was the main point of the debate? To give the status of free to the sons and daughters of enslaved women born after the enactment of the law: They would be born naive. They would not be freed, for such a definition used to refer to those who were born enslaved and who obtained freedom. For five months, parliamentarians discussed the future of the first generation of black Brazilian children</w:t>
      </w:r>
      <w:r>
        <w:rPr>
          <w:rStyle w:val="ncoradanotaderodap"/>
          <w:rFonts w:ascii="Verdana" w:hAnsi="Verdana"/>
          <w:sz w:val="24"/>
          <w:szCs w:val="24"/>
          <w:lang w:val="en-US"/>
        </w:rPr>
        <w:footnoteReference w:id="1"/>
      </w:r>
      <w:r>
        <w:rPr>
          <w:rFonts w:ascii="Verdana" w:hAnsi="Verdana"/>
          <w:sz w:val="24"/>
          <w:szCs w:val="24"/>
          <w:lang w:val="en-US"/>
        </w:rPr>
        <w:t>.</w:t>
      </w:r>
    </w:p>
    <w:p w14:paraId="41DC476B" w14:textId="77777777" w:rsidR="007562CB" w:rsidRDefault="00000000">
      <w:pPr>
        <w:spacing w:line="360" w:lineRule="auto"/>
        <w:ind w:firstLine="708"/>
        <w:jc w:val="both"/>
        <w:rPr>
          <w:rFonts w:ascii="Verdana" w:hAnsi="Verdana"/>
          <w:sz w:val="24"/>
          <w:szCs w:val="24"/>
        </w:rPr>
      </w:pPr>
      <w:r>
        <w:rPr>
          <w:rFonts w:ascii="Verdana" w:eastAsia="Times New Roman" w:hAnsi="Verdana" w:cs="Times New Roman"/>
          <w:color w:val="000000"/>
          <w:sz w:val="24"/>
          <w:szCs w:val="24"/>
          <w:lang w:val="en-US"/>
        </w:rPr>
        <w:t xml:space="preserve">There were multiple arguments against and in favour of the proposed law. However, there are points of unity among parliamentarians. First, the </w:t>
      </w:r>
      <w:r>
        <w:rPr>
          <w:rFonts w:ascii="Verdana" w:eastAsia="Times New Roman" w:hAnsi="Verdana" w:cs="Times New Roman"/>
          <w:color w:val="000000"/>
          <w:sz w:val="24"/>
          <w:szCs w:val="24"/>
          <w:lang w:val="en-US"/>
        </w:rPr>
        <w:lastRenderedPageBreak/>
        <w:t xml:space="preserve">consensus on the immoral, depraved, promiscuous character of enslaved people. </w:t>
      </w:r>
    </w:p>
    <w:p w14:paraId="3AACB4E7" w14:textId="77777777" w:rsidR="007562CB" w:rsidRDefault="00000000">
      <w:pPr>
        <w:spacing w:line="360" w:lineRule="auto"/>
        <w:ind w:firstLine="708"/>
        <w:jc w:val="both"/>
        <w:rPr>
          <w:rFonts w:ascii="Verdana" w:hAnsi="Verdana"/>
          <w:sz w:val="24"/>
          <w:szCs w:val="24"/>
        </w:rPr>
      </w:pPr>
      <w:r>
        <w:rPr>
          <w:rFonts w:ascii="Verdana" w:eastAsia="Times New Roman" w:hAnsi="Verdana" w:cs="Times New Roman"/>
          <w:color w:val="000000"/>
          <w:sz w:val="24"/>
          <w:szCs w:val="24"/>
          <w:lang w:val="en-US"/>
        </w:rPr>
        <w:t>Throughout the debates, the construction of the abject</w:t>
      </w:r>
      <w:r>
        <w:rPr>
          <w:rStyle w:val="ncoradanotaderodap"/>
          <w:rFonts w:ascii="Verdana" w:eastAsia="Times New Roman" w:hAnsi="Verdana" w:cs="Times New Roman"/>
          <w:color w:val="000000"/>
          <w:sz w:val="24"/>
          <w:szCs w:val="24"/>
          <w:lang w:val="en-US"/>
        </w:rPr>
        <w:footnoteReference w:id="2"/>
      </w:r>
      <w:r>
        <w:rPr>
          <w:rFonts w:ascii="Verdana" w:eastAsia="Times New Roman" w:hAnsi="Verdana" w:cs="Times New Roman"/>
          <w:color w:val="000000"/>
          <w:sz w:val="24"/>
          <w:szCs w:val="24"/>
          <w:lang w:val="en-US"/>
        </w:rPr>
        <w:t xml:space="preserve"> figure of “being a slave” emerges. It is useless to try to find in their speeches any point of reflexivity in which the “I” encounters the existence of enslaved people, which is the foundation of otherness. The horror was in the possibility of having people of the “African race” with the same rights as white people. It was not a debate of public policies to prepare the future generation of Brazilians.</w:t>
      </w:r>
    </w:p>
    <w:p w14:paraId="0EA4E461"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As an effect of this representation of enslaved people as abject, we note a second consensus.  In the whole discussion, there is not a single mention of the figure of the father. It is as if enslaved women have the unique ability to generate biological heirs alone. On the other hand, they were denied the condition of motherhood. What defines maternal condition? The bond, the authority, the production of shared memories. But is it possible for us to talk about motherhood and childhood in the context of slavery? I will try to argue that these categories did not apply to enslaved people, which imposes on us the task of constructing other theoretical tools, which I will attempt to do using the concept of necrobiopower.</w:t>
      </w:r>
    </w:p>
    <w:p w14:paraId="66DA0446" w14:textId="77777777" w:rsidR="007562CB" w:rsidRDefault="007562CB">
      <w:pPr>
        <w:pStyle w:val="P68B1DB1-Normal2"/>
        <w:spacing w:line="360" w:lineRule="auto"/>
        <w:ind w:firstLine="708"/>
        <w:jc w:val="both"/>
        <w:rPr>
          <w:rFonts w:ascii="Verdana" w:hAnsi="Verdana"/>
          <w:sz w:val="24"/>
          <w:szCs w:val="24"/>
          <w:lang w:val="en-US"/>
        </w:rPr>
      </w:pPr>
    </w:p>
    <w:p w14:paraId="54E2E39F" w14:textId="77777777" w:rsidR="007562CB" w:rsidRDefault="00000000">
      <w:pPr>
        <w:pStyle w:val="P68B1DB1-Normal2"/>
        <w:spacing w:line="360" w:lineRule="auto"/>
        <w:jc w:val="both"/>
        <w:rPr>
          <w:rFonts w:ascii="Verdana" w:hAnsi="Verdana"/>
          <w:sz w:val="24"/>
          <w:szCs w:val="24"/>
        </w:rPr>
      </w:pPr>
      <w:r>
        <w:rPr>
          <w:rFonts w:ascii="Verdana" w:hAnsi="Verdana"/>
          <w:b/>
          <w:sz w:val="24"/>
          <w:szCs w:val="24"/>
          <w:lang w:val="en-US"/>
        </w:rPr>
        <w:t>The Enslaved Child</w:t>
      </w:r>
    </w:p>
    <w:p w14:paraId="1F431DB6" w14:textId="77777777" w:rsidR="007562CB" w:rsidRDefault="007562CB">
      <w:pPr>
        <w:pStyle w:val="P68B1DB1-Normal2"/>
        <w:spacing w:line="360" w:lineRule="auto"/>
        <w:ind w:firstLine="708"/>
        <w:jc w:val="both"/>
        <w:rPr>
          <w:rFonts w:ascii="Verdana" w:hAnsi="Verdana"/>
          <w:sz w:val="24"/>
          <w:szCs w:val="24"/>
          <w:lang w:val="en-US"/>
        </w:rPr>
      </w:pPr>
    </w:p>
    <w:p w14:paraId="6CD78583"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lastRenderedPageBreak/>
        <w:t>Children were the ones who suffered the most, due obviously to the inherent vulnerability of their condition and the restrictions on food and hygiene (Gertze, 1990, p. 138). Neglect and mistreatment of enslaved children were the norm. For the slaveholder, it was simpler to buy “pieces” that could already be used for work than to spend time and resources preparing the workforce. It is worth noting, however, that from the age of three or four, children were already starting to engage in domestic work. With the end of the slave trade, it was expected that care would be taken of enslaved offspring, as it would no longer be possible to replenish the “servile stock” by purchasing on the West African coast. Although “slave breedings” existed, with the Catholic Church</w:t>
      </w:r>
      <w:r>
        <w:rPr>
          <w:rStyle w:val="ncoradanotaderodap"/>
          <w:rFonts w:ascii="Verdana" w:hAnsi="Verdana"/>
          <w:sz w:val="24"/>
          <w:szCs w:val="24"/>
          <w:lang w:val="en-US"/>
        </w:rPr>
        <w:footnoteReference w:id="3"/>
      </w:r>
      <w:r>
        <w:rPr>
          <w:rFonts w:ascii="Verdana" w:hAnsi="Verdana"/>
          <w:sz w:val="24"/>
          <w:szCs w:val="24"/>
          <w:lang w:val="en-US"/>
        </w:rPr>
        <w:t xml:space="preserve"> playing a leading role in this practice, it did not become a general and institutionalized practice as it did in the Southern United States.</w:t>
      </w:r>
    </w:p>
    <w:p w14:paraId="2329EDD9"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At a certain point in the debates about the Free Womb Law, a parliamentarian stated: “Fortunately, we do not know in Brazil the other condemned means that were in vogue in the United States, as Carlier informs us in his important work on slavery in those states” (Deputy Menezes Prado, 1871,</w:t>
      </w:r>
      <w:r>
        <w:rPr>
          <w:rFonts w:ascii="Verdana" w:hAnsi="Verdana"/>
          <w:color w:val="FF0000"/>
          <w:sz w:val="24"/>
          <w:szCs w:val="24"/>
          <w:lang w:val="en-US"/>
        </w:rPr>
        <w:t xml:space="preserve"> </w:t>
      </w:r>
      <w:r>
        <w:rPr>
          <w:rFonts w:ascii="Verdana" w:hAnsi="Verdana"/>
          <w:sz w:val="24"/>
          <w:szCs w:val="24"/>
          <w:lang w:val="en-US"/>
        </w:rPr>
        <w:t xml:space="preserve">p. 244, Volume 3). </w:t>
      </w:r>
    </w:p>
    <w:p w14:paraId="1A967008"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 xml:space="preserve">It is concluded from this passage that there was a kind of public moral condemnation of this practice, which, contradictorily, was opposed to what happened in the private sphere, where slaveholders had unlimited access to the bodies of enslaved women. This made every Brazilian household a potential breeding ground for enslaved individuals. The first census conducted in Brazil, in 1872, depicted the level of sexual violence to which enslaved women were subjected. According to the survey, 58% of residents in the country identified as mixed-race or Black, compared to 38% who </w:t>
      </w:r>
      <w:r>
        <w:rPr>
          <w:rFonts w:ascii="Verdana" w:hAnsi="Verdana"/>
          <w:sz w:val="24"/>
          <w:szCs w:val="24"/>
          <w:lang w:val="en-US"/>
        </w:rPr>
        <w:lastRenderedPageBreak/>
        <w:t>identified as White. “Mixed-race” was the classification category invented by the colonizer to name the “miscegenation process,” a sterile name that hides the centuries-old policy of expanding the stock and mediating sexual violence. The masters were confident about the future because the children of enslaved women, even if they had fair skin or biological traits that indicated paternity, would not change the ontological condition of the child and the master.</w:t>
      </w:r>
    </w:p>
    <w:p w14:paraId="1854A05A"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According to Gertze (1990), the mortality rates of Black children and adolescents aged 0 to 14 concentrated around 38% between the years 1850-1855. However, the critical phase was up to three years of age, when mortality exceeded 55%. It was expected that with the approval of the Free Womb Law, the infant mortality of the children of enslaved women would decrease since, according to the law, slaveholders were supposed to assume responsibility to ensure the child's life thrived. However, what was observed was an increase in mortality to 55.48%, according to Gertze’s (1990) research conducted in the southern region of Brazil. Another piece of data that supports the lack of care for the first generation of children who became part of the Brazilian population was the increase in abandoned newborns in foundling wheels. I will return to discuss the institution of foundling wheels, but I would like to highlight that in the post-Free Womb Law period, there was a growth in the presence of Black children in the Holy Houses of Mercy, undoubtedly delivered by slaveholders to avoid taking any responsibility for the education and maintenance of Black children</w:t>
      </w:r>
      <w:r>
        <w:rPr>
          <w:rStyle w:val="ncoradanotaderodap"/>
          <w:rFonts w:ascii="Verdana" w:hAnsi="Verdana"/>
          <w:sz w:val="24"/>
          <w:szCs w:val="24"/>
          <w:lang w:val="en-US"/>
        </w:rPr>
        <w:footnoteReference w:id="4"/>
      </w:r>
      <w:r>
        <w:rPr>
          <w:rFonts w:ascii="Verdana" w:hAnsi="Verdana"/>
          <w:sz w:val="24"/>
          <w:szCs w:val="24"/>
          <w:lang w:val="en-US"/>
        </w:rPr>
        <w:t>.</w:t>
      </w:r>
    </w:p>
    <w:p w14:paraId="01984E14" w14:textId="77777777" w:rsidR="007562CB" w:rsidRDefault="007562CB">
      <w:pPr>
        <w:pStyle w:val="P68B1DB1-Normal2"/>
        <w:spacing w:line="360" w:lineRule="auto"/>
        <w:ind w:firstLine="708"/>
        <w:jc w:val="both"/>
        <w:rPr>
          <w:rFonts w:ascii="Verdana" w:hAnsi="Verdana"/>
          <w:sz w:val="24"/>
          <w:szCs w:val="24"/>
          <w:lang w:val="en-US"/>
        </w:rPr>
      </w:pPr>
    </w:p>
    <w:p w14:paraId="4AF7FD47" w14:textId="77777777" w:rsidR="007562CB" w:rsidRDefault="00000000">
      <w:pPr>
        <w:pStyle w:val="P68B1DB1-Normal2"/>
        <w:spacing w:line="360" w:lineRule="auto"/>
        <w:jc w:val="both"/>
        <w:rPr>
          <w:rFonts w:ascii="Verdana" w:hAnsi="Verdana"/>
          <w:sz w:val="24"/>
          <w:szCs w:val="24"/>
        </w:rPr>
      </w:pPr>
      <w:r>
        <w:rPr>
          <w:rFonts w:ascii="Verdana" w:hAnsi="Verdana"/>
          <w:b/>
          <w:sz w:val="24"/>
          <w:szCs w:val="24"/>
          <w:lang w:val="en-US"/>
        </w:rPr>
        <w:t>Gender Difference and Gender Identity</w:t>
      </w:r>
    </w:p>
    <w:p w14:paraId="26BC667C" w14:textId="77777777" w:rsidR="007562CB" w:rsidRDefault="007562CB">
      <w:pPr>
        <w:spacing w:line="360" w:lineRule="auto"/>
        <w:ind w:firstLine="708"/>
        <w:jc w:val="both"/>
        <w:rPr>
          <w:rFonts w:ascii="Verdana" w:eastAsia="Times New Roman" w:hAnsi="Verdana" w:cs="Times New Roman"/>
          <w:color w:val="FF0000"/>
          <w:sz w:val="24"/>
          <w:szCs w:val="24"/>
          <w:lang w:val="en-US"/>
        </w:rPr>
      </w:pPr>
    </w:p>
    <w:p w14:paraId="24B47240" w14:textId="77777777" w:rsidR="007562CB" w:rsidRDefault="00000000">
      <w:pPr>
        <w:spacing w:line="360" w:lineRule="auto"/>
        <w:ind w:firstLine="708"/>
        <w:jc w:val="both"/>
        <w:rPr>
          <w:rFonts w:ascii="Verdana" w:hAnsi="Verdana"/>
          <w:sz w:val="24"/>
          <w:szCs w:val="24"/>
        </w:rPr>
      </w:pPr>
      <w:r>
        <w:rPr>
          <w:rFonts w:ascii="Verdana" w:eastAsia="Times New Roman" w:hAnsi="Verdana" w:cs="Times New Roman"/>
          <w:color w:val="000000"/>
          <w:sz w:val="24"/>
          <w:szCs w:val="24"/>
          <w:lang w:val="en-US"/>
        </w:rPr>
        <w:t xml:space="preserve">Enslaved women and men were alienated and alienated from the condition of gender. The appearance of gender does not authorize us to say that they were men and women considering the whole system lived, nourished, and reproduced precisely by the denial of the human condition. </w:t>
      </w:r>
      <w:sdt>
        <w:sdtPr>
          <w:id w:val="2046632359"/>
        </w:sdtPr>
        <w:sdtContent>
          <w:r>
            <w:rPr>
              <w:rFonts w:ascii="Verdana" w:eastAsia="Times New Roman" w:hAnsi="Verdana" w:cs="Times New Roman"/>
              <w:color w:val="000000"/>
              <w:sz w:val="24"/>
              <w:szCs w:val="24"/>
              <w:lang w:val="en-US"/>
            </w:rPr>
            <w:t xml:space="preserve">If entry into gender was the first act of humanization, that door would be closed to enslaved people. </w:t>
          </w:r>
        </w:sdtContent>
      </w:sdt>
    </w:p>
    <w:p w14:paraId="398FB480" w14:textId="77777777" w:rsidR="007562CB" w:rsidRDefault="00000000">
      <w:pPr>
        <w:spacing w:line="360" w:lineRule="auto"/>
        <w:ind w:firstLine="708"/>
        <w:jc w:val="both"/>
        <w:rPr>
          <w:rFonts w:ascii="Verdana" w:hAnsi="Verdana"/>
          <w:sz w:val="24"/>
          <w:szCs w:val="24"/>
        </w:rPr>
      </w:pPr>
      <w:r>
        <w:rPr>
          <w:rFonts w:ascii="Verdana" w:eastAsia="Times New Roman" w:hAnsi="Verdana" w:cs="Times New Roman"/>
          <w:color w:val="000000"/>
          <w:sz w:val="24"/>
          <w:szCs w:val="24"/>
          <w:lang w:val="en-US"/>
        </w:rPr>
        <w:t>Sexual difference, here, is another name for homo sacer (Agamben, 2013); it’s pure biology, energy, and matter in human form. Their breasts, milk, sex, wide hips, strong arms, intact teeth, youth, skills in domestic tasks, and strength for agricultural tasks, are commodities. The enslaved Black woman is defined as the opposite of the free White woman. Her physiological structure predisposes her to endure pain, lack emotions, have excessive sexuality, and be unfamiliar with maternal love and honour. Sexual difference without culture is merely bios, but pure bios doesn’t exist. To look at enslaved bodies and not find culture, but females and males, is already the work of operationalized abjection. The production of abjection will ensure the moral ballast that will continue the work of producing slaves. Sexual difference doesn’t guarantee unity among women. The construction of sexual difference through gender will ensure White women identity and recognition of belonging to humanity in a hierarchical position inferior to White men. For enslaved Black women, sexual difference would be another factor confirming certain inherent qualities of the commodity, such as breastfeeding. In both situations, there’s a prior condition that will define who will be a woman and who will be a commodity: race.</w:t>
      </w:r>
    </w:p>
    <w:p w14:paraId="590C75A1" w14:textId="77777777" w:rsidR="007562CB" w:rsidRDefault="00000000">
      <w:pPr>
        <w:spacing w:line="360" w:lineRule="auto"/>
        <w:ind w:firstLine="708"/>
        <w:jc w:val="both"/>
        <w:rPr>
          <w:rFonts w:ascii="Verdana" w:hAnsi="Verdana"/>
          <w:sz w:val="24"/>
          <w:szCs w:val="24"/>
        </w:rPr>
      </w:pPr>
      <w:r>
        <w:rPr>
          <w:rFonts w:ascii="Verdana" w:eastAsia="Times New Roman" w:hAnsi="Verdana" w:cs="Times New Roman"/>
          <w:color w:val="000000"/>
          <w:sz w:val="24"/>
          <w:szCs w:val="24"/>
          <w:lang w:val="en-US"/>
        </w:rPr>
        <w:t xml:space="preserve">It is the bodies that inhabit the sphere of necropolitics that will ensure, through their work and the existence of the State, the formulation of policies aimed at caring for life. Therefore, there is no antinomy between the promotion of life and the promotion of death. These are two inseparable and constitutive dimensions of the State. When we move from the realm of biopolitics to necropolitics, we must be attentive to the shifting of </w:t>
      </w:r>
      <w:r>
        <w:rPr>
          <w:rFonts w:ascii="Verdana" w:eastAsia="Times New Roman" w:hAnsi="Verdana" w:cs="Times New Roman"/>
          <w:color w:val="000000"/>
          <w:sz w:val="24"/>
          <w:szCs w:val="24"/>
          <w:lang w:val="en-US"/>
        </w:rPr>
        <w:lastRenderedPageBreak/>
        <w:t>categories. The recognition of gender identities disappears when we operate within the realm of necropolitics. Although I am separating the two spheres (bio and necro) to analyze the framing of State policies, it is not possible to make this separation. A third analytical approach that I propose is to consider “promotion of life and death” as inseparable dimensions when analyzing the State, which I will name “necropower.”</w:t>
      </w:r>
    </w:p>
    <w:p w14:paraId="4E09873E" w14:textId="77777777" w:rsidR="007562CB" w:rsidRDefault="007562CB">
      <w:pPr>
        <w:spacing w:line="360" w:lineRule="auto"/>
        <w:ind w:firstLine="708"/>
        <w:jc w:val="both"/>
        <w:rPr>
          <w:rFonts w:ascii="Verdana" w:eastAsia="Times New Roman" w:hAnsi="Verdana" w:cs="Times New Roman"/>
          <w:color w:val="000000"/>
          <w:sz w:val="24"/>
          <w:szCs w:val="24"/>
          <w:lang w:val="en-US"/>
        </w:rPr>
      </w:pPr>
    </w:p>
    <w:p w14:paraId="5E9622A0" w14:textId="77777777" w:rsidR="007562CB" w:rsidRDefault="00000000">
      <w:pPr>
        <w:spacing w:line="360" w:lineRule="auto"/>
        <w:jc w:val="both"/>
        <w:rPr>
          <w:rFonts w:ascii="Verdana" w:hAnsi="Verdana"/>
          <w:sz w:val="24"/>
          <w:szCs w:val="24"/>
        </w:rPr>
      </w:pPr>
      <w:r>
        <w:rPr>
          <w:rFonts w:ascii="Verdana" w:eastAsia="Times New Roman" w:hAnsi="Verdana" w:cs="Times New Roman"/>
          <w:b/>
          <w:color w:val="000000"/>
          <w:sz w:val="24"/>
          <w:szCs w:val="24"/>
          <w:lang w:val="en-US"/>
        </w:rPr>
        <w:t>Necrobiopower: the body of the enslaved Black woman and the place of the innocent child.</w:t>
      </w:r>
    </w:p>
    <w:p w14:paraId="40BB2A71" w14:textId="77777777" w:rsidR="007562CB" w:rsidRDefault="007562CB">
      <w:pPr>
        <w:spacing w:line="360" w:lineRule="auto"/>
        <w:ind w:firstLine="708"/>
        <w:jc w:val="both"/>
        <w:rPr>
          <w:rFonts w:ascii="Verdana" w:eastAsia="Times New Roman" w:hAnsi="Verdana" w:cs="Times New Roman"/>
          <w:b/>
          <w:color w:val="000000"/>
          <w:sz w:val="24"/>
          <w:szCs w:val="24"/>
          <w:lang w:val="en-US"/>
        </w:rPr>
      </w:pPr>
    </w:p>
    <w:p w14:paraId="6758147B" w14:textId="77777777" w:rsidR="007562CB" w:rsidRDefault="00000000">
      <w:pPr>
        <w:spacing w:line="360" w:lineRule="auto"/>
        <w:ind w:firstLine="708"/>
        <w:jc w:val="both"/>
        <w:rPr>
          <w:rFonts w:ascii="Verdana" w:hAnsi="Verdana"/>
          <w:sz w:val="24"/>
          <w:szCs w:val="24"/>
        </w:rPr>
      </w:pPr>
      <w:r>
        <w:rPr>
          <w:rFonts w:ascii="Verdana" w:eastAsia="Times New Roman" w:hAnsi="Verdana" w:cs="Times New Roman"/>
          <w:color w:val="000000"/>
          <w:sz w:val="24"/>
          <w:szCs w:val="24"/>
          <w:lang w:val="en-US"/>
        </w:rPr>
        <w:t>The parliamentary routine between May and September 1871 can be divided into two major blocks: the first, routine issues of the State's daily life were discussed, related to topics linked to the interests of the citizens of Brazil. In the second, attention was focused on debates surrounding the fate of the 1.7 million “souls” who were outside of these policies. The reading of the Annals, not only regarding the “servile element” but also the analysis of all items on the agenda, forced me to reconsider the conceptual framework I was operating within to interpret the textual corpus.</w:t>
      </w:r>
    </w:p>
    <w:p w14:paraId="39168DF2" w14:textId="77777777" w:rsidR="007562CB" w:rsidRDefault="00000000">
      <w:pPr>
        <w:spacing w:line="360" w:lineRule="auto"/>
        <w:ind w:firstLine="708"/>
        <w:jc w:val="both"/>
        <w:rPr>
          <w:rFonts w:ascii="Verdana" w:hAnsi="Verdana"/>
          <w:sz w:val="24"/>
          <w:szCs w:val="24"/>
        </w:rPr>
      </w:pPr>
      <w:r>
        <w:rPr>
          <w:rFonts w:ascii="Verdana" w:eastAsia="Times New Roman" w:hAnsi="Verdana" w:cs="Times New Roman"/>
          <w:color w:val="000000"/>
          <w:sz w:val="24"/>
          <w:szCs w:val="24"/>
          <w:lang w:val="en-US"/>
        </w:rPr>
        <w:t>Research that articulates the State and populations living in profound levels of precarity activate concepts such as biopower (Foucault, 1999), necropower (Mbembe, 2011), homo sacer (Agamben, 2013), the zone of ‘non-being’ (Fanon, 2008), livable/life-killable lives (Butler, 1993). This theoretical field allows us to think about how abject identities are repeatedly excluded from the ontological sphere. Foucault's theses on the State have become a point of dialogue and tension for this field of study</w:t>
      </w:r>
      <w:r>
        <w:rPr>
          <w:rStyle w:val="ncoradanotaderodap"/>
          <w:rFonts w:ascii="Verdana" w:eastAsia="Times New Roman" w:hAnsi="Verdana" w:cs="Times New Roman"/>
          <w:color w:val="000000"/>
          <w:sz w:val="24"/>
          <w:szCs w:val="24"/>
          <w:lang w:val="en-US"/>
        </w:rPr>
        <w:footnoteReference w:id="5"/>
      </w:r>
      <w:r>
        <w:rPr>
          <w:rFonts w:ascii="Verdana" w:eastAsia="Times New Roman" w:hAnsi="Verdana" w:cs="Times New Roman"/>
          <w:color w:val="000000"/>
          <w:sz w:val="24"/>
          <w:szCs w:val="24"/>
          <w:lang w:val="en-US"/>
        </w:rPr>
        <w:t xml:space="preserve">. For the philosopher, at the end of the 17th and 18th centuries, a new type of power emerged, with the management of the population as the focus of </w:t>
      </w:r>
      <w:r>
        <w:rPr>
          <w:rFonts w:ascii="Verdana" w:eastAsia="Times New Roman" w:hAnsi="Verdana" w:cs="Times New Roman"/>
          <w:color w:val="000000"/>
          <w:sz w:val="24"/>
          <w:szCs w:val="24"/>
          <w:lang w:val="en-US"/>
        </w:rPr>
        <w:lastRenderedPageBreak/>
        <w:t>its actions and technologies. It was no longer death but life that became the defining content of power. The truth of power shifted from death to life, not individual life, but human conglomerates, life as bios. According to Foucault (1999),</w:t>
      </w:r>
    </w:p>
    <w:p w14:paraId="31505FE5" w14:textId="77777777" w:rsidR="007562CB" w:rsidRDefault="00000000">
      <w:pPr>
        <w:spacing w:line="360" w:lineRule="auto"/>
        <w:ind w:left="709"/>
        <w:jc w:val="both"/>
        <w:rPr>
          <w:rFonts w:ascii="Verdana" w:hAnsi="Verdana"/>
          <w:sz w:val="24"/>
          <w:szCs w:val="24"/>
        </w:rPr>
      </w:pPr>
      <w:r>
        <w:rPr>
          <w:rFonts w:ascii="Verdana" w:eastAsia="Times New Roman" w:hAnsi="Verdana" w:cs="Times New Roman"/>
          <w:color w:val="000000"/>
          <w:sz w:val="24"/>
          <w:szCs w:val="24"/>
          <w:lang w:val="en-US"/>
        </w:rPr>
        <w:t>Hence, instead of the great, dramatic, somber absolute power which was the power of sovereignty, and which consisted in the power to kill, there now appears, with this technology of biopower, with this technology of power over the 'population' as such, over man as a living being, a continuous, scientific power, which is the power to ‘make live’ (p. 294).</w:t>
      </w:r>
    </w:p>
    <w:p w14:paraId="737BAC01"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Your analysis is deep and intricate, focusing on the interplay between life (bio) and death (necro or thanatos) within the actions of the State. Building on Michel Foucault's work, both Achille Mbembe (2011) and Giorgio Agamben (2013) problematize the centrality of life in modern States. The figure from Roman law – homo sacer (killable life) – is what defines modern States. According to Agamben, all lives are sacrificial for the State, and the concentration camp transitions from historical exceptionality to rule. Mbembe, also in conversation with Foucault, terms State policies as necropolitics, such as those seen in Israel, which involve the material destruction of bodies and populations deemed disposable and superfluous</w:t>
      </w:r>
    </w:p>
    <w:p w14:paraId="6A829E11"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 xml:space="preserve">You propose another interpretive pathway for actions in colonized States, where the absolute exploitation of enslaved individuals ensures resources for the State's policies regarding population welfare. If there are killable lives, there are also lives protected by the State. Giving life and promoting death are inseparable terms in State analysis. Necropower, a set of policies focused on promoting both life and death, operates within notions of social ontologies. In these ontologies, skin colour, gender, class, ethnicity, and region (territory) serve as aprioristic markers. The notion of “a priori,” as I propose, has historical density and organizes State frameworks for populations. While the two conceptual fields (those highlighting the centrality of life in State policies and those emphasizing </w:t>
      </w:r>
      <w:r>
        <w:rPr>
          <w:rFonts w:ascii="Verdana" w:hAnsi="Verdana"/>
          <w:sz w:val="24"/>
          <w:szCs w:val="24"/>
          <w:lang w:val="en-US"/>
        </w:rPr>
        <w:lastRenderedPageBreak/>
        <w:t>death) can be isolated for analyzing repeatedly excluded populations or others considered important, for State analytics, they are inseparable concepts.</w:t>
      </w:r>
    </w:p>
    <w:p w14:paraId="2FF6EE2F"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Thus, I propose the term “necropower” to describe a set of techniques for promoting both life and death based on attributes that qualify and distribute bodies in a hierarchy that denies them recognition as human and thus designates them for elimination, while others are designated to live</w:t>
      </w:r>
      <w:r>
        <w:rPr>
          <w:rStyle w:val="ncoradanotaderodap"/>
          <w:rFonts w:ascii="Verdana" w:hAnsi="Verdana"/>
          <w:sz w:val="24"/>
          <w:szCs w:val="24"/>
          <w:lang w:val="en-US"/>
        </w:rPr>
        <w:footnoteReference w:id="6"/>
      </w:r>
      <w:r>
        <w:rPr>
          <w:rFonts w:ascii="Verdana" w:hAnsi="Verdana"/>
          <w:sz w:val="24"/>
          <w:szCs w:val="24"/>
          <w:lang w:val="en-US"/>
        </w:rPr>
        <w:t>. It’s within the debate on the “servile element,” embedded within the State, that we can observe the legitimizing structures of necropolitics at work. Yet, these same conditions make biopower effective. In other words, without the labour of enslaved individuals, no care for life could have been developed.</w:t>
      </w:r>
    </w:p>
    <w:p w14:paraId="2F1C4C27"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The notion of “elimination,” within the context of slavery, is realized through the constant extraction of energy from bodies based on certain natural attributes they possess. I will delve further into how, under the guise of shared attributes among women (such as reproductive capacity), a deceptive symmetry is proposed between “women,” when in fact, free women were part of biopolitics, and enslaved Black women were subject to necropolitics.</w:t>
      </w:r>
    </w:p>
    <w:p w14:paraId="6BA24E28"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 xml:space="preserve">The parliamentary debates during the period, highlighting two main areas of focus. The first block of discussions centers around infrastructure projects, such as railway construction, pensions for widows, naturalization of foreign citizens, budget allocations for charity houses and brotherhoods, judicial reform, and debates on the regulation of foreign labour (especially Chinese labour at that historical moment). These discussions reflect a State </w:t>
      </w:r>
      <w:r>
        <w:rPr>
          <w:rFonts w:ascii="Verdana" w:hAnsi="Verdana"/>
          <w:sz w:val="24"/>
          <w:szCs w:val="24"/>
          <w:lang w:val="en-US"/>
        </w:rPr>
        <w:lastRenderedPageBreak/>
        <w:t>striving to overcome infrastructural challenges to elevate Brazil’s economic development, compounded by the costs of the Paraguayan War.</w:t>
      </w:r>
    </w:p>
    <w:p w14:paraId="4C9D3424"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In contrast, the debate on the “servile element” reveals a regulatory force shaping the positions of parliamentarians concerning family, sexuality, religion, and morality. There existed a unity of conception among them regarding these aspects, underpinned by their shared characteristics: not being enslaved individuals or freedmen, sharing worldviews promoted by Catholicism, being slaveholders, defending private ownership of individuals (none advocated for immediate abolition), and possessing a certain amount of economic capital. Parliamentarians did not diverge on the abject nature of slave morality. No passage in the Annals relativizes the “immorality” represented by the “tumour” of slavery. One could argue that the horror was directed towards the system rather than the enslaved person, but there’s insufficient evidence to support this relativization. Instead, the data suggests the opposite, as highlighted in the analysis of the portrayal of enslaved individuals.</w:t>
      </w:r>
    </w:p>
    <w:p w14:paraId="45E61A3A"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The apparent contradiction of wanting slavery while hating the enslaved person was resolved through the high turnover of enslaved individuals. This reinforces the notion that genocide was at the core of colonial and imperial Brazil, facilitated by a complete lack of regard for the lives of enslaved individuals, who were easily replaced before the end of the slave trade</w:t>
      </w:r>
      <w:r>
        <w:rPr>
          <w:rStyle w:val="ncoradanotaderodap"/>
          <w:rFonts w:ascii="Verdana" w:hAnsi="Verdana"/>
          <w:sz w:val="24"/>
          <w:szCs w:val="24"/>
          <w:lang w:val="en-US"/>
        </w:rPr>
        <w:footnoteReference w:id="7"/>
      </w:r>
      <w:r>
        <w:rPr>
          <w:rFonts w:ascii="Verdana" w:hAnsi="Verdana"/>
          <w:sz w:val="24"/>
          <w:szCs w:val="24"/>
          <w:lang w:val="en-US"/>
        </w:rPr>
        <w:t>. Admitting the presence of Black individuals in Brazilian society was seen as contaminating the social body.</w:t>
      </w:r>
    </w:p>
    <w:p w14:paraId="2788F20C"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 xml:space="preserve">The parliamentary discussions weren’t simply a “moral agenda” defending Catholic family values, property, and tradition against perceived contamination by practitioners of witchcraft. The notion of an "agenda" diminishes the structural nature of Christian morality, which merges with the notion of civilization and becomes a regulatory force planning and </w:t>
      </w:r>
      <w:r>
        <w:rPr>
          <w:rFonts w:ascii="Verdana" w:hAnsi="Verdana"/>
          <w:sz w:val="24"/>
          <w:szCs w:val="24"/>
          <w:lang w:val="en-US"/>
        </w:rPr>
        <w:lastRenderedPageBreak/>
        <w:t>executing the national demographic project. The purification of the Brazilian race necessitated the purification of blood, achieved through the physical elimination of enslaved individuals. Bodies deserving care and political belonging had to be cleansed of the moral and spiritual impurities associated with the “African race.” Biopolitics was structured in and by the denial of Black people’s humanity.</w:t>
      </w:r>
    </w:p>
    <w:p w14:paraId="4BBA7B11"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Who were enslaved Black women to the parliamentarians? After all, the debate revolved around their bodies and moralities. In small glimpses throughout the speeches, the pains of enslaved mothers were highlighted, women who saw their children taken away so that the master could profit from selling their milk. Sending children to foundling homes was a common practice after the 1871 law</w:t>
      </w:r>
      <w:r>
        <w:rPr>
          <w:rStyle w:val="ncoradanotaderodap"/>
          <w:rFonts w:ascii="Verdana" w:hAnsi="Verdana"/>
          <w:sz w:val="24"/>
          <w:szCs w:val="24"/>
          <w:lang w:val="en-US"/>
        </w:rPr>
        <w:footnoteReference w:id="8"/>
      </w:r>
      <w:r>
        <w:rPr>
          <w:rFonts w:ascii="Verdana" w:hAnsi="Verdana"/>
          <w:sz w:val="24"/>
          <w:szCs w:val="24"/>
          <w:lang w:val="en-US"/>
        </w:rPr>
        <w:t>, which led mothers to “tear apart the most resonant fibres of their hearts and then rent themselves out as wet nurses, earning 500 to 600 thousand reis in one year” (Deputy Capanema, 1871,</w:t>
      </w:r>
      <w:r>
        <w:rPr>
          <w:rFonts w:ascii="Verdana" w:hAnsi="Verdana"/>
          <w:color w:val="FF0000"/>
          <w:sz w:val="24"/>
          <w:szCs w:val="24"/>
          <w:lang w:val="en-US"/>
        </w:rPr>
        <w:t xml:space="preserve"> </w:t>
      </w:r>
      <w:r>
        <w:rPr>
          <w:rFonts w:ascii="Verdana" w:hAnsi="Verdana"/>
          <w:sz w:val="24"/>
          <w:szCs w:val="24"/>
          <w:lang w:val="en-US"/>
        </w:rPr>
        <w:t>p. 173, Volume 3).</w:t>
      </w:r>
    </w:p>
    <w:p w14:paraId="4C102AAB"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Another glimpse emerges from the Annals when government-aligned parliamentarians pointed out that the project would end infanticide committed by enslaved women, a practice linked to the refusal to subject their children to enslavement. With the new law, this practice would cease, and these women would supposedly be grateful to their masters.</w:t>
      </w:r>
    </w:p>
    <w:p w14:paraId="2341C6C0" w14:textId="77777777" w:rsidR="007562CB" w:rsidRDefault="00000000">
      <w:pPr>
        <w:pStyle w:val="P68B1DB1-Normal2"/>
        <w:spacing w:line="360" w:lineRule="auto"/>
        <w:ind w:left="709"/>
        <w:jc w:val="both"/>
        <w:rPr>
          <w:rFonts w:ascii="Verdana" w:hAnsi="Verdana"/>
          <w:sz w:val="24"/>
          <w:szCs w:val="24"/>
        </w:rPr>
      </w:pPr>
      <w:r>
        <w:rPr>
          <w:rFonts w:ascii="Verdana" w:hAnsi="Verdana"/>
          <w:sz w:val="24"/>
          <w:szCs w:val="24"/>
          <w:lang w:val="en-US"/>
        </w:rPr>
        <w:t xml:space="preserve">Everyone knows that this extreme love, inspired by deep pride, sometimes driven by exaggerated principles among the enslaved women, has greatly contributed to victims being made rather than slaves (supported); leading to immense abortions and infanticides, which are demonstrating that in the constancy of the current system, where humanity groans, all feelings are trampled, religion forgotten </w:t>
      </w:r>
      <w:r>
        <w:rPr>
          <w:rFonts w:ascii="Verdana" w:hAnsi="Verdana"/>
          <w:sz w:val="24"/>
          <w:szCs w:val="24"/>
          <w:lang w:val="en-US"/>
        </w:rPr>
        <w:lastRenderedPageBreak/>
        <w:t xml:space="preserve">by these ignorant beings who prefer to see their children dead rather than enslaved (Deputy Junqueira, </w:t>
      </w:r>
      <w:r>
        <w:rPr>
          <w:rFonts w:ascii="Verdana" w:hAnsi="Verdana"/>
          <w:sz w:val="24"/>
          <w:szCs w:val="24"/>
          <w:lang w:val="en-US" w:eastAsia="pt-BR"/>
        </w:rPr>
        <w:t xml:space="preserve">1871, </w:t>
      </w:r>
      <w:r>
        <w:rPr>
          <w:rFonts w:ascii="Verdana" w:hAnsi="Verdana"/>
          <w:color w:val="FF0000"/>
          <w:sz w:val="24"/>
          <w:szCs w:val="24"/>
          <w:lang w:val="en-US"/>
        </w:rPr>
        <w:t xml:space="preserve"> </w:t>
      </w:r>
      <w:r>
        <w:rPr>
          <w:rFonts w:ascii="Verdana" w:hAnsi="Verdana"/>
          <w:sz w:val="24"/>
          <w:szCs w:val="24"/>
          <w:lang w:val="en-US"/>
        </w:rPr>
        <w:t>p. 102, Volume 3).</w:t>
      </w:r>
    </w:p>
    <w:p w14:paraId="2D728B6B"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This passage may suggest a contradiction regarding the representation of the enslaved person as “leprous”; however, there is no rupture. The recognition of this maternal love returns it to a place of savagery due to the absence of religious values, the foundation of civilization. At times, another representation of motherhood among the enslaved women emerges.</w:t>
      </w:r>
    </w:p>
    <w:p w14:paraId="1E5B4F48"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We are confronted with discussions about the fate of children who will come into the world. Certainly, many of the future sons and daughters were conceived through the unlimited access that those masters had to the bodies of enslaved women. There is no doubt that we are facing a debate about the bodies of enslaved women. It is as if women had the gift of bearing children alone, leading to a complete absence of acknowledgement of paternity, with the State's consent. Why the insistence on labelling the sexual lives of enslaved people as promiscuous and debauched? On the one hand, to create a radical difference between free, white, and Catholic families; on the other hand, to avoid holding masters accountable for assuming paternity and their crimes. Once again, it is important to note how the lack of paternal recognition is linked to the perception of the enslaved woman's body as abject.</w:t>
      </w:r>
    </w:p>
    <w:p w14:paraId="2FFD349B"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 xml:space="preserve">Accepting that the sons and daughters of enslaved women became citizens was deemed impossible. To defend this impossibility, lawmakers articulated 1) economic arguments (this project is the harbinger of the end of slavery and agriculture, which is the country's greatest wealth, will collapse), 2) historical (we inherited slavery. It has been almost four centuries since the institution of slavery. Why should we be held accountable?), and 3) moral arguments. It is in this third core of arguments that we find abjection repeatedly legitimizing necropolitics. The body of the enslaved woman would be the synthesis of necrobiopower. She continued </w:t>
      </w:r>
      <w:r>
        <w:rPr>
          <w:rFonts w:ascii="Verdana" w:hAnsi="Verdana"/>
          <w:sz w:val="24"/>
          <w:szCs w:val="24"/>
          <w:lang w:val="en-US"/>
        </w:rPr>
        <w:lastRenderedPageBreak/>
        <w:t>to inhabit the sphere of necropolitics, while her child formally entered the realm of biopolitics.</w:t>
      </w:r>
    </w:p>
    <w:p w14:paraId="1FD7E1AC"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In 1871, the bodies of enslaved women were at a crossroads: the meeting (and tension) point between these two forms of body management without an apparent solution. On the one hand, they would continue in the realm of necropower. The master and mistress would continue to have absolute power over their lives. On the other hand, their sons and daughters would become legal members of the nation-state and could ascend to biopolitics. But this crossroads only happened on a legal facade. What defines childhood? Absolute vulnerability. From the symbolic dimension (language, moral values, for example) to objective issues (nutrition, hygiene, etc.), the precariousness of being presents itself as the foundation of this existence. During the debates, there was no concern from lawmakers about the future of these children. Given the data that for every 2 enslaved children born, 1 died before reaching the age of 5, there was no proposal or even a discourse pointing to ways to change it. On the contrary, what was observed after the law's approval was an increase in the mortality of Black children. Being born free then increased the risk of death</w:t>
      </w:r>
      <w:r>
        <w:rPr>
          <w:rStyle w:val="ncoradanotaderodap"/>
          <w:rFonts w:ascii="Verdana" w:hAnsi="Verdana"/>
          <w:sz w:val="24"/>
          <w:szCs w:val="24"/>
          <w:lang w:val="en-US"/>
        </w:rPr>
        <w:footnoteReference w:id="9"/>
      </w:r>
      <w:r>
        <w:rPr>
          <w:rFonts w:ascii="Verdana" w:hAnsi="Verdana"/>
          <w:sz w:val="24"/>
          <w:szCs w:val="24"/>
          <w:lang w:val="en-US"/>
        </w:rPr>
        <w:t>.</w:t>
      </w:r>
    </w:p>
    <w:p w14:paraId="37F94246" w14:textId="77777777" w:rsidR="007562CB" w:rsidRDefault="007562CB">
      <w:pPr>
        <w:pStyle w:val="P68B1DB1-Normal2"/>
        <w:spacing w:line="360" w:lineRule="auto"/>
        <w:ind w:firstLine="708"/>
        <w:jc w:val="both"/>
        <w:rPr>
          <w:rFonts w:ascii="Verdana" w:hAnsi="Verdana"/>
          <w:b/>
          <w:sz w:val="24"/>
          <w:szCs w:val="24"/>
          <w:lang w:val="en-US"/>
        </w:rPr>
      </w:pPr>
    </w:p>
    <w:p w14:paraId="70705982" w14:textId="77777777" w:rsidR="007562CB" w:rsidRDefault="00000000">
      <w:pPr>
        <w:pStyle w:val="P68B1DB1-Normal2"/>
        <w:spacing w:line="360" w:lineRule="auto"/>
        <w:jc w:val="both"/>
        <w:rPr>
          <w:rFonts w:ascii="Verdana" w:hAnsi="Verdana"/>
          <w:sz w:val="24"/>
          <w:szCs w:val="24"/>
        </w:rPr>
      </w:pPr>
      <w:r>
        <w:rPr>
          <w:rFonts w:ascii="Verdana" w:hAnsi="Verdana"/>
          <w:b/>
          <w:sz w:val="24"/>
          <w:szCs w:val="24"/>
          <w:lang w:val="en-US"/>
        </w:rPr>
        <w:t>Necrobiopower and gender</w:t>
      </w:r>
    </w:p>
    <w:p w14:paraId="2126C784" w14:textId="77777777" w:rsidR="007562CB" w:rsidRDefault="007562CB">
      <w:pPr>
        <w:pStyle w:val="P68B1DB1-Normal2"/>
        <w:spacing w:line="360" w:lineRule="auto"/>
        <w:ind w:firstLine="708"/>
        <w:jc w:val="both"/>
        <w:rPr>
          <w:rFonts w:ascii="Verdana" w:hAnsi="Verdana"/>
          <w:sz w:val="24"/>
          <w:szCs w:val="24"/>
          <w:lang w:val="en-US"/>
        </w:rPr>
      </w:pPr>
    </w:p>
    <w:p w14:paraId="67C0CD05"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 xml:space="preserve">The concept of necrobiopower operates differently when linked to gender. We realize that the category of “gender” becomes a useless concept when operated in isolation. The sign “woman” suggests a semantic field in which free white women and enslaved Black women are included. However, while white women were born with the status of belonging to a </w:t>
      </w:r>
      <w:r>
        <w:rPr>
          <w:rFonts w:ascii="Verdana" w:hAnsi="Verdana"/>
          <w:sz w:val="24"/>
          <w:szCs w:val="24"/>
          <w:lang w:val="en-US"/>
        </w:rPr>
        <w:lastRenderedPageBreak/>
        <w:t>political space that offers recognition, namely the State, as well as their children, Black women were objects of possession, a situation reaffirmed at the end of the proposition discussion process, as they were kept in the condition of private property.</w:t>
      </w:r>
    </w:p>
    <w:p w14:paraId="6A863040"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Free women frequently appear in the Annals but within the realm of biopolitics. On August 3, 1871, an “official letter sent by Princess Isabel [grants pensions to D. Anna Joaquina de Brito Favilla, D. Carolina Henriqueta, and D. Maria Isabel Carlota da Fonseca – the pension and salary commission]” is discussed (p. 43, Volume 4). Once again, it is a white woman who occupies the highest representation of power in the Empire, the same one who signed the Free Womb Law and the Golden Law. Free women had a name, surname, honour to preserve, and children to educate. In five months of debate, we do not know a single name of an enslaved Black woman. Analyzing ontological situations with the same conceptual apparatus is to reproduce, at the level of thought, the violence that marked the lives of enslaved individuals. Enslaved Black women were not considered women.</w:t>
      </w:r>
    </w:p>
    <w:p w14:paraId="38F5F59F"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 xml:space="preserve">Analyzing and articulating gender within the realm of necrobiopolitics can lead us to problematize the notion of sisterhood and start reading it as a myth that was effective in producing erasures in the relationships granted by the State, which substantially differentiated free women from enslaved women. I am not suggesting that gender relations, specifically between free and enslaved women, remained crystallized in the colonial and slaveholding past. However, understanding gender relations through the lens of slow historical inheritances, suggests that "woman" is insufficient to interpret differentiated access to public policies (in the State sphere) and other dimensions of social life (e.g., labour market, political and media representation). </w:t>
      </w:r>
    </w:p>
    <w:p w14:paraId="4EDC9D97"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 xml:space="preserve">The interpretation of the Annals allows us to access a set of discourses that leave no doubt that gender concerns exclusively free women who inhabit the realm of biopolitics. I suggest analyzing the Foundling Wheels </w:t>
      </w:r>
      <w:r>
        <w:rPr>
          <w:rFonts w:ascii="Verdana" w:hAnsi="Verdana"/>
          <w:sz w:val="24"/>
          <w:szCs w:val="24"/>
          <w:lang w:val="en-US"/>
        </w:rPr>
        <w:lastRenderedPageBreak/>
        <w:t>as a counterpoint to verify if this assertion holds. The proposal to work with and in counterpoints, as proposed by Edward Said (2020), means leaving the Annals and then returning to them with other frameworks that allow us to understand that the discourses of those parliamentarians are dialoguing with established dimensions of social, economic, and political life. Thinking in counterpoints means understanding that discourse is supported by a network of power relations external to it, placing them in networks and relations that allow us to attempt to construct maps.</w:t>
      </w:r>
    </w:p>
    <w:p w14:paraId="009698FA"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The practice of abandoning newborns in the Foundling Wheels linked to the Holy Houses of Mercy, traversed the entire history of colonial and imperial Brazil. Research indicates that the majority of babies were white. Mulattos occupied the second place in the sample. In smaller proportion, Black babies. The Foundling Wheels became a device for socially important women who feared being discovered due to pregnancy outside social norms</w:t>
      </w:r>
      <w:r>
        <w:rPr>
          <w:rStyle w:val="ncoradanotaderodap"/>
          <w:rFonts w:ascii="Verdana" w:hAnsi="Verdana"/>
          <w:sz w:val="24"/>
          <w:szCs w:val="24"/>
          <w:lang w:val="en-US"/>
        </w:rPr>
        <w:footnoteReference w:id="10"/>
      </w:r>
      <w:r>
        <w:rPr>
          <w:rFonts w:ascii="Verdana" w:hAnsi="Verdana"/>
          <w:sz w:val="24"/>
          <w:szCs w:val="24"/>
          <w:lang w:val="en-US"/>
        </w:rPr>
        <w:t>. The notion of “illegitimate child” made no sense for enslaved women because the opposition “legitimate versus illegitimate” referred to the world of those born free. An illegitimate child (of Black and mixed-race women) did not dishonour the mother or family to the same extent as a white woman.</w:t>
      </w:r>
    </w:p>
    <w:p w14:paraId="2C77709C"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 xml:space="preserve">By the decision of 1775, the king of Portugal reaffirmed what was defined in Roman law, stating that the abandoned children of enslaved women who were placed in the Foundling Wheel would be considered “freeborn.” At that moment, there was a change in the profile of those deposited in the Foundling Wheel, albeit for a short time, as there was an increase in newborn black infants in the wheels. In March 1799, the bishop of Pernambuco, Dom José Joaquim da Cunha de Azeredo Coutinho, wrote to the Secretary of State for the Navy and Overseas, Dom Rodrigo de Sousa Coutinho, informing that the Foundling House of Recife was a very poor </w:t>
      </w:r>
      <w:r>
        <w:rPr>
          <w:rFonts w:ascii="Verdana" w:hAnsi="Verdana"/>
          <w:sz w:val="24"/>
          <w:szCs w:val="24"/>
          <w:lang w:val="en-US"/>
        </w:rPr>
        <w:lastRenderedPageBreak/>
        <w:t>establishment, aiming to save the lives of innocent children, infants on the verge of being sacrificed by their mothers, who acted to save their own lives from the fury of their fathers and relatives, as well as to preserve their honour. However, “mulattas, black women, and slaves abused the institution because they had no credit or honour to defend or save, nor punishments to fear” (Almeida &amp; Bezerra, 2017, p. 10-11), and yet they began to leave their children in the wheel. The intention was for the children to be “raised at public expense.” Additionally, as a strategy, they offered to raise them, receiving payment for such tasks, or leaving them to be more unencumbered to “continue in their depraved lives” (Almeida &amp; Bezerra, 2017, p. 10-11).</w:t>
      </w:r>
    </w:p>
    <w:p w14:paraId="7D27D694"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Enslaved women were considered the worst, as they intentionally “threw them into the Wheel, deceiving their masters, telling them that they had died or had bad outcomes.” To ensure the certainty of what was happening in Recife, the bishop says he went to the Foundling House and verified that most of the children were black and “mulattos,” with whites being a small part. The solution, according to Dom Azeredo, was very simple: keep all newborn blacks and “mulattos” in slavery.</w:t>
      </w:r>
    </w:p>
    <w:p w14:paraId="7C5FE329"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Finally, institutions that welcomed abandoned children were destined to assist white children and not mixed-race children, who were considered dangerous. This kind of apprehension is always present in colonial documentation. After all, in a slave society, children of colour were seen as subject to negotiation in slave markets. They were supposed to generate profits, not expenses. And it was this interpretation, that enslaved women were devoid of honour or any other attribute shared with free women, one of the guiding threads in the speeches of the parliamentarians in 1871. In other words, the lives of enslaved women were devoid of moral values, and they were condemned to non-maternity.</w:t>
      </w:r>
    </w:p>
    <w:p w14:paraId="059A9A01"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 xml:space="preserve">With this and other counterpoints, I managed to understand the mistake of gender studies in using the same concepts to analyze distinct ontologies that marked the world of free people and enslaved people. The </w:t>
      </w:r>
      <w:r>
        <w:rPr>
          <w:rFonts w:ascii="Verdana" w:hAnsi="Verdana"/>
          <w:sz w:val="24"/>
          <w:szCs w:val="24"/>
          <w:lang w:val="en-US"/>
        </w:rPr>
        <w:lastRenderedPageBreak/>
        <w:t>concept of necrobiopower presented itself as an alternative to reading the Annals.</w:t>
      </w:r>
    </w:p>
    <w:p w14:paraId="1712C074"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Let’s move on to another counterpoint. In 1885, the same logic of necropower that guided the Free Womb Law would operate the decisions of parliament. By determining that enslaved people over 60 years old would become ‘freed’ (Law of the Sexagenarians), the disposable nature of these bodies is made explicit, as I pointed out. It was rare to have enslaved people who reached this age, as the life expectancy of an enslaved person was 19 years (and of a free person 27 years), with a useful life considered to be 10 years. Those who managed to reach 60 years old became freed to die. Just like children, the elderly were abandoned. The two laws that dealt with abolition in Brazil, before the definitive abolition (on May 13, 1888), were focused exactly on the sphere of the most vulnerable human existence: childhood and old age. And here is the magic of these laws: they are the opposite of what they seem. A type of inverted performativity that characterizes producing effects contrary to those announced. The Golden Law also followed the same logic of inverted performativity as the previous ones. It’s as if the letter of the law were enough to guarantee existence and survival. The law itself becomes a type of codification that will ensure that the project presented by Deputy Perdigão Malheiro is, in fact, the great victor. This seems to me to be the most perverse trick of the State: offering poison under the guise of medicine. The abandonment of the new citizens is in line with the policy of extermination of the “African race.”</w:t>
      </w:r>
    </w:p>
    <w:p w14:paraId="456DDC6F" w14:textId="77777777" w:rsidR="007562CB" w:rsidRDefault="007562CB">
      <w:pPr>
        <w:pStyle w:val="P68B1DB1-Normal2"/>
        <w:spacing w:line="360" w:lineRule="auto"/>
        <w:ind w:firstLine="708"/>
        <w:jc w:val="both"/>
        <w:rPr>
          <w:rFonts w:ascii="Verdana" w:hAnsi="Verdana"/>
          <w:b/>
          <w:sz w:val="24"/>
          <w:szCs w:val="24"/>
          <w:lang w:val="en-US"/>
        </w:rPr>
      </w:pPr>
    </w:p>
    <w:p w14:paraId="22AE744E" w14:textId="77777777" w:rsidR="007562CB" w:rsidRDefault="00000000">
      <w:pPr>
        <w:pStyle w:val="P68B1DB1-Normal2"/>
        <w:spacing w:line="360" w:lineRule="auto"/>
        <w:jc w:val="both"/>
        <w:rPr>
          <w:rFonts w:ascii="Verdana" w:hAnsi="Verdana"/>
          <w:sz w:val="24"/>
          <w:szCs w:val="24"/>
        </w:rPr>
      </w:pPr>
      <w:r>
        <w:rPr>
          <w:rFonts w:ascii="Verdana" w:hAnsi="Verdana"/>
          <w:b/>
          <w:sz w:val="24"/>
          <w:szCs w:val="24"/>
          <w:lang w:val="en-US"/>
        </w:rPr>
        <w:t>Conclusion</w:t>
      </w:r>
    </w:p>
    <w:p w14:paraId="19B08FFB" w14:textId="77777777" w:rsidR="007562CB" w:rsidRDefault="007562CB">
      <w:pPr>
        <w:pStyle w:val="P68B1DB1-Normal2"/>
        <w:spacing w:line="360" w:lineRule="auto"/>
        <w:ind w:firstLine="708"/>
        <w:jc w:val="both"/>
        <w:rPr>
          <w:rFonts w:ascii="Verdana" w:hAnsi="Verdana"/>
          <w:sz w:val="24"/>
          <w:szCs w:val="24"/>
          <w:lang w:val="en-US"/>
        </w:rPr>
      </w:pPr>
    </w:p>
    <w:p w14:paraId="25905A24" w14:textId="77777777" w:rsidR="007562CB" w:rsidRDefault="00000000">
      <w:pPr>
        <w:pStyle w:val="P68B1DB1-Normal2"/>
        <w:spacing w:line="360" w:lineRule="auto"/>
        <w:ind w:firstLine="708"/>
        <w:jc w:val="both"/>
        <w:rPr>
          <w:rFonts w:ascii="Verdana" w:hAnsi="Verdana"/>
          <w:sz w:val="24"/>
          <w:szCs w:val="24"/>
        </w:rPr>
      </w:pPr>
      <w:r>
        <w:rPr>
          <w:rFonts w:ascii="Verdana" w:hAnsi="Verdana"/>
          <w:sz w:val="24"/>
          <w:szCs w:val="24"/>
          <w:lang w:val="en-US"/>
        </w:rPr>
        <w:t xml:space="preserve">The first generation of black children in Brazil, those who would legally constitute the Brazilian population, were condemned to death and without family. This was the (unspoken) bargaining chip traded by the State. It would grant the status of ingenuousness to the children of </w:t>
      </w:r>
      <w:r>
        <w:rPr>
          <w:rFonts w:ascii="Verdana" w:hAnsi="Verdana"/>
          <w:sz w:val="24"/>
          <w:szCs w:val="24"/>
          <w:lang w:val="en-US"/>
        </w:rPr>
        <w:lastRenderedPageBreak/>
        <w:t>enslaved women, but it would take away from them something fundamental to ensure that their lives would thrive: someone to care for them. The crossroads between necropower and biopower dissipates and gives way to necrobiopower. Black children remained condemned to death, so that white children, the offspring of biopolitics, would have more opportunities to prosper.</w:t>
      </w:r>
    </w:p>
    <w:p w14:paraId="2DDED545" w14:textId="77777777" w:rsidR="007562CB" w:rsidRDefault="007562CB">
      <w:pPr>
        <w:pStyle w:val="P68B1DB1-Normal2"/>
        <w:spacing w:line="360" w:lineRule="auto"/>
        <w:ind w:firstLine="708"/>
        <w:jc w:val="both"/>
        <w:rPr>
          <w:rFonts w:ascii="Verdana" w:hAnsi="Verdana"/>
          <w:sz w:val="24"/>
          <w:szCs w:val="24"/>
          <w:lang w:val="en-US"/>
        </w:rPr>
      </w:pPr>
    </w:p>
    <w:p w14:paraId="58A888C3" w14:textId="77777777" w:rsidR="007562CB" w:rsidRDefault="00000000">
      <w:pPr>
        <w:spacing w:line="360" w:lineRule="auto"/>
        <w:jc w:val="both"/>
        <w:rPr>
          <w:rFonts w:ascii="Verdana" w:hAnsi="Verdana"/>
          <w:sz w:val="24"/>
          <w:szCs w:val="24"/>
        </w:rPr>
      </w:pPr>
      <w:r>
        <w:rPr>
          <w:rFonts w:ascii="Verdana" w:eastAsia="Times New Roman" w:hAnsi="Verdana" w:cs="Times New Roman"/>
          <w:b/>
          <w:color w:val="000000"/>
          <w:sz w:val="24"/>
          <w:szCs w:val="24"/>
        </w:rPr>
        <w:t>References</w:t>
      </w:r>
    </w:p>
    <w:p w14:paraId="549392BB" w14:textId="77777777" w:rsidR="007562CB" w:rsidRDefault="007562CB">
      <w:pPr>
        <w:spacing w:line="360" w:lineRule="auto"/>
        <w:jc w:val="both"/>
        <w:rPr>
          <w:rFonts w:ascii="Verdana" w:eastAsia="Times New Roman" w:hAnsi="Verdana" w:cs="Times New Roman"/>
          <w:color w:val="000000"/>
          <w:sz w:val="24"/>
          <w:szCs w:val="24"/>
        </w:rPr>
      </w:pPr>
    </w:p>
    <w:p w14:paraId="3C70ED5F" w14:textId="77777777" w:rsidR="007562CB" w:rsidRDefault="00000000">
      <w:pPr>
        <w:spacing w:line="360" w:lineRule="auto"/>
        <w:ind w:left="426" w:right="-1" w:hanging="426"/>
        <w:jc w:val="both"/>
        <w:rPr>
          <w:rFonts w:ascii="Verdana" w:hAnsi="Verdana"/>
          <w:sz w:val="24"/>
          <w:szCs w:val="24"/>
        </w:rPr>
      </w:pPr>
      <w:r>
        <w:rPr>
          <w:rFonts w:ascii="Verdana" w:hAnsi="Verdana" w:cs="Times New Roman"/>
          <w:color w:val="000000" w:themeColor="text1"/>
          <w:sz w:val="24"/>
          <w:szCs w:val="24"/>
        </w:rPr>
        <w:t xml:space="preserve">Agamben, G. (2013). </w:t>
      </w:r>
      <w:r>
        <w:rPr>
          <w:rFonts w:ascii="Verdana" w:hAnsi="Verdana" w:cs="Times New Roman"/>
          <w:i/>
          <w:color w:val="000000" w:themeColor="text1"/>
          <w:sz w:val="24"/>
          <w:szCs w:val="24"/>
        </w:rPr>
        <w:t>Homo sacer: o poder soberano e a vida nua I</w:t>
      </w:r>
      <w:r>
        <w:rPr>
          <w:rFonts w:ascii="Verdana" w:hAnsi="Verdana" w:cs="Times New Roman"/>
          <w:color w:val="000000" w:themeColor="text1"/>
          <w:sz w:val="24"/>
          <w:szCs w:val="24"/>
        </w:rPr>
        <w:t>. Humanitas-UFMG.</w:t>
      </w:r>
    </w:p>
    <w:p w14:paraId="534F1C65" w14:textId="77777777" w:rsidR="007562CB" w:rsidRDefault="00000000">
      <w:pPr>
        <w:spacing w:line="360" w:lineRule="auto"/>
        <w:ind w:left="426" w:right="-1" w:hanging="426"/>
        <w:jc w:val="both"/>
        <w:rPr>
          <w:rFonts w:ascii="Verdana" w:hAnsi="Verdana"/>
          <w:sz w:val="24"/>
          <w:szCs w:val="24"/>
        </w:rPr>
      </w:pPr>
      <w:r>
        <w:rPr>
          <w:rFonts w:ascii="Verdana" w:hAnsi="Verdana" w:cs="Times New Roman"/>
          <w:color w:val="000000" w:themeColor="text1"/>
          <w:sz w:val="24"/>
          <w:szCs w:val="24"/>
        </w:rPr>
        <w:t xml:space="preserve">Almeida, S. C., Bezerra, J. S. (2017). Os filhos da roda: instituição e escravidão de crianças expostas na casa da roda do recife (1770 -1829). </w:t>
      </w:r>
      <w:r>
        <w:rPr>
          <w:rFonts w:ascii="Verdana" w:hAnsi="Verdana" w:cs="Times New Roman"/>
          <w:i/>
          <w:color w:val="000000" w:themeColor="text1"/>
          <w:sz w:val="24"/>
          <w:szCs w:val="24"/>
        </w:rPr>
        <w:t>Afro-Ásia</w:t>
      </w:r>
      <w:r>
        <w:rPr>
          <w:rFonts w:ascii="Verdana" w:hAnsi="Verdana" w:cs="Times New Roman"/>
          <w:color w:val="000000" w:themeColor="text1"/>
          <w:sz w:val="24"/>
          <w:szCs w:val="24"/>
        </w:rPr>
        <w:t xml:space="preserve">, (55), pp. 147-174. </w:t>
      </w:r>
    </w:p>
    <w:p w14:paraId="1D012217" w14:textId="77777777" w:rsidR="007562CB" w:rsidRDefault="00000000">
      <w:pPr>
        <w:spacing w:line="360" w:lineRule="auto"/>
        <w:ind w:left="426" w:right="-1" w:hanging="426"/>
        <w:jc w:val="both"/>
      </w:pPr>
      <w:r>
        <w:rPr>
          <w:rFonts w:ascii="Verdana" w:hAnsi="Verdana" w:cs="Times New Roman"/>
          <w:color w:val="000000" w:themeColor="text1"/>
          <w:sz w:val="24"/>
          <w:szCs w:val="24"/>
        </w:rPr>
        <w:t xml:space="preserve">Annaes do Parlamento Brasileiro, anno de 1871. </w:t>
      </w:r>
      <w:hyperlink r:id="rId10">
        <w:r w:rsidR="007562CB">
          <w:rPr>
            <w:rStyle w:val="LinkdaInternet"/>
            <w:rFonts w:ascii="Verdana" w:hAnsi="Verdana" w:cs="Times New Roman"/>
            <w:color w:val="000000" w:themeColor="text1"/>
            <w:sz w:val="24"/>
            <w:szCs w:val="24"/>
            <w:u w:val="none"/>
          </w:rPr>
          <w:t>https://bd.camara.leg.br/bd/handle/bdcamara/30362</w:t>
        </w:r>
      </w:hyperlink>
    </w:p>
    <w:p w14:paraId="4F858633" w14:textId="77777777" w:rsidR="007562CB" w:rsidRDefault="00000000">
      <w:pPr>
        <w:spacing w:line="360" w:lineRule="auto"/>
        <w:ind w:left="426" w:right="-1" w:hanging="426"/>
        <w:jc w:val="both"/>
      </w:pPr>
      <w:r>
        <w:rPr>
          <w:rFonts w:ascii="Verdana" w:hAnsi="Verdana" w:cs="Times New Roman"/>
          <w:color w:val="000000" w:themeColor="text1"/>
          <w:sz w:val="24"/>
          <w:szCs w:val="24"/>
        </w:rPr>
        <w:t xml:space="preserve">Annaes do Senado do Império do Brasil, anno de 1871. </w:t>
      </w:r>
      <w:hyperlink r:id="rId11">
        <w:r w:rsidR="007562CB">
          <w:rPr>
            <w:rStyle w:val="LinkdaInternet"/>
            <w:rFonts w:ascii="Verdana" w:hAnsi="Verdana" w:cs="Times New Roman"/>
            <w:color w:val="000000" w:themeColor="text1"/>
            <w:sz w:val="24"/>
            <w:szCs w:val="24"/>
            <w:u w:val="none"/>
          </w:rPr>
          <w:t>https://www.senado.leg.br/publicacoes/anais/pdf/Anais_Imperio/1871/1871%20Livro%205.pdf</w:t>
        </w:r>
      </w:hyperlink>
    </w:p>
    <w:p w14:paraId="507A350F" w14:textId="77777777" w:rsidR="007562CB" w:rsidRDefault="00000000">
      <w:pPr>
        <w:spacing w:line="360" w:lineRule="auto"/>
        <w:ind w:left="426" w:right="-1" w:hanging="426"/>
        <w:jc w:val="both"/>
        <w:rPr>
          <w:rFonts w:ascii="Verdana" w:hAnsi="Verdana"/>
          <w:sz w:val="24"/>
          <w:szCs w:val="24"/>
        </w:rPr>
      </w:pPr>
      <w:r>
        <w:rPr>
          <w:rFonts w:ascii="Verdana" w:eastAsia="Calibri" w:hAnsi="Verdana" w:cs="Times New Roman"/>
          <w:color w:val="000000"/>
          <w:sz w:val="24"/>
          <w:szCs w:val="24"/>
          <w:lang w:eastAsia="pt-BR"/>
        </w:rPr>
        <w:t>Bento, Berenice</w:t>
      </w:r>
      <w:r>
        <w:rPr>
          <w:rFonts w:ascii="Verdana" w:hAnsi="Verdana" w:cs="Times New Roman"/>
          <w:color w:val="000000" w:themeColor="text1"/>
          <w:sz w:val="24"/>
          <w:szCs w:val="24"/>
        </w:rPr>
        <w:t xml:space="preserve">. (2018). Necrobiopoder: Quem pode habitar o Estado-nação? </w:t>
      </w:r>
      <w:r>
        <w:rPr>
          <w:rFonts w:ascii="Verdana" w:hAnsi="Verdana" w:cs="Times New Roman"/>
          <w:i/>
          <w:color w:val="000000" w:themeColor="text1"/>
          <w:sz w:val="24"/>
          <w:szCs w:val="24"/>
        </w:rPr>
        <w:t>Cadernos Pagu</w:t>
      </w:r>
      <w:r>
        <w:rPr>
          <w:rFonts w:ascii="Verdana" w:hAnsi="Verdana" w:cs="Times New Roman"/>
          <w:color w:val="000000" w:themeColor="text1"/>
          <w:sz w:val="24"/>
          <w:szCs w:val="24"/>
        </w:rPr>
        <w:t>,</w:t>
      </w:r>
      <w:r>
        <w:rPr>
          <w:rFonts w:ascii="Verdana" w:hAnsi="Verdana" w:cs="Times New Roman"/>
          <w:color w:val="000000" w:themeColor="text1"/>
          <w:sz w:val="24"/>
          <w:szCs w:val="24"/>
          <w:shd w:val="clear" w:color="auto" w:fill="FFFFFF"/>
        </w:rPr>
        <w:t> Campinas, (53).</w:t>
      </w:r>
      <w:r>
        <w:rPr>
          <w:rFonts w:ascii="Verdana" w:hAnsi="Verdana" w:cs="Times New Roman"/>
          <w:color w:val="000000" w:themeColor="text1"/>
          <w:sz w:val="24"/>
          <w:szCs w:val="24"/>
        </w:rPr>
        <w:t xml:space="preserve"> </w:t>
      </w:r>
    </w:p>
    <w:p w14:paraId="7B5254D1" w14:textId="77777777" w:rsidR="007562CB" w:rsidRDefault="00000000">
      <w:pPr>
        <w:spacing w:line="360" w:lineRule="auto"/>
        <w:ind w:left="426" w:right="-1" w:hanging="426"/>
        <w:jc w:val="both"/>
        <w:rPr>
          <w:rFonts w:ascii="Verdana" w:hAnsi="Verdana"/>
          <w:sz w:val="24"/>
          <w:szCs w:val="24"/>
        </w:rPr>
      </w:pPr>
      <w:r>
        <w:rPr>
          <w:rFonts w:ascii="Verdana" w:hAnsi="Verdana" w:cs="Times New Roman"/>
          <w:color w:val="000000" w:themeColor="text1"/>
          <w:sz w:val="24"/>
          <w:szCs w:val="24"/>
        </w:rPr>
        <w:t xml:space="preserve">Butler, J. (1993). </w:t>
      </w:r>
      <w:r>
        <w:rPr>
          <w:rFonts w:ascii="Verdana" w:hAnsi="Verdana" w:cs="Times New Roman"/>
          <w:i/>
          <w:color w:val="000000" w:themeColor="text1"/>
          <w:sz w:val="24"/>
          <w:szCs w:val="24"/>
          <w:lang w:val="en-US"/>
        </w:rPr>
        <w:t>Bodies that Matter: On the Discursive Limits of “Sex”</w:t>
      </w:r>
      <w:r>
        <w:rPr>
          <w:rFonts w:ascii="Verdana" w:hAnsi="Verdana" w:cs="Times New Roman"/>
          <w:color w:val="000000" w:themeColor="text1"/>
          <w:sz w:val="24"/>
          <w:szCs w:val="24"/>
          <w:lang w:val="en-US"/>
        </w:rPr>
        <w:t xml:space="preserve">. </w:t>
      </w:r>
      <w:r>
        <w:rPr>
          <w:rFonts w:ascii="Verdana" w:hAnsi="Verdana" w:cs="Times New Roman"/>
          <w:color w:val="000000" w:themeColor="text1"/>
          <w:sz w:val="24"/>
          <w:szCs w:val="24"/>
        </w:rPr>
        <w:t>Routledge.</w:t>
      </w:r>
    </w:p>
    <w:p w14:paraId="208CC3FF" w14:textId="77777777" w:rsidR="007562CB" w:rsidRDefault="00000000">
      <w:pPr>
        <w:spacing w:line="360" w:lineRule="auto"/>
        <w:ind w:left="426" w:right="-1" w:hanging="426"/>
        <w:jc w:val="both"/>
        <w:rPr>
          <w:rFonts w:ascii="Verdana" w:hAnsi="Verdana"/>
          <w:sz w:val="24"/>
          <w:szCs w:val="24"/>
        </w:rPr>
      </w:pPr>
      <w:r>
        <w:rPr>
          <w:rFonts w:ascii="Verdana" w:hAnsi="Verdana" w:cs="Times New Roman"/>
          <w:color w:val="000000" w:themeColor="text1"/>
          <w:sz w:val="24"/>
          <w:szCs w:val="24"/>
        </w:rPr>
        <w:t xml:space="preserve">Conrad, R. (1978). </w:t>
      </w:r>
      <w:r>
        <w:rPr>
          <w:rFonts w:ascii="Verdana" w:hAnsi="Verdana" w:cs="Times New Roman"/>
          <w:i/>
          <w:color w:val="000000" w:themeColor="text1"/>
          <w:sz w:val="24"/>
          <w:szCs w:val="24"/>
        </w:rPr>
        <w:t>Os últimos anos da escravatura no Brasil, 1850-1888</w:t>
      </w:r>
      <w:r>
        <w:rPr>
          <w:rFonts w:ascii="Verdana" w:hAnsi="Verdana" w:cs="Times New Roman"/>
          <w:color w:val="000000" w:themeColor="text1"/>
          <w:sz w:val="24"/>
          <w:szCs w:val="24"/>
        </w:rPr>
        <w:t>. Civilização Brasileira.</w:t>
      </w:r>
    </w:p>
    <w:p w14:paraId="5347E108" w14:textId="77777777" w:rsidR="007562CB" w:rsidRDefault="00000000">
      <w:pPr>
        <w:shd w:val="clear" w:color="auto" w:fill="FFFFFF"/>
        <w:spacing w:line="360" w:lineRule="auto"/>
        <w:ind w:left="426" w:hanging="426"/>
        <w:jc w:val="both"/>
        <w:rPr>
          <w:rFonts w:ascii="Verdana" w:hAnsi="Verdana"/>
          <w:sz w:val="24"/>
          <w:szCs w:val="24"/>
        </w:rPr>
      </w:pPr>
      <w:r>
        <w:rPr>
          <w:rFonts w:ascii="Verdana" w:hAnsi="Verdana" w:cs="Times New Roman"/>
          <w:color w:val="000000" w:themeColor="text1"/>
          <w:sz w:val="24"/>
          <w:szCs w:val="24"/>
        </w:rPr>
        <w:t xml:space="preserve">Costa, E. V. da. (1982). </w:t>
      </w:r>
      <w:r>
        <w:rPr>
          <w:rFonts w:ascii="Verdana" w:hAnsi="Verdana" w:cs="Times New Roman"/>
          <w:i/>
          <w:color w:val="000000" w:themeColor="text1"/>
          <w:sz w:val="24"/>
          <w:szCs w:val="24"/>
        </w:rPr>
        <w:t>Da senzala à colônia</w:t>
      </w:r>
      <w:r>
        <w:rPr>
          <w:rFonts w:ascii="Verdana" w:hAnsi="Verdana" w:cs="Times New Roman"/>
          <w:color w:val="000000" w:themeColor="text1"/>
          <w:sz w:val="24"/>
          <w:szCs w:val="24"/>
        </w:rPr>
        <w:t xml:space="preserve">. Ciências Humanas. </w:t>
      </w:r>
    </w:p>
    <w:p w14:paraId="0790D01E" w14:textId="77777777" w:rsidR="007562CB" w:rsidRDefault="00000000">
      <w:pPr>
        <w:spacing w:line="360" w:lineRule="auto"/>
        <w:ind w:left="426" w:hanging="426"/>
        <w:rPr>
          <w:rFonts w:ascii="Verdana" w:hAnsi="Verdana"/>
          <w:sz w:val="24"/>
          <w:szCs w:val="24"/>
        </w:rPr>
      </w:pPr>
      <w:r>
        <w:rPr>
          <w:rFonts w:ascii="Verdana" w:hAnsi="Verdana" w:cs="Times New Roman"/>
          <w:color w:val="000000" w:themeColor="text1"/>
          <w:sz w:val="24"/>
          <w:szCs w:val="24"/>
        </w:rPr>
        <w:t xml:space="preserve">Costa, E. V. da. (2008). </w:t>
      </w:r>
      <w:r>
        <w:rPr>
          <w:rFonts w:ascii="Verdana" w:hAnsi="Verdana" w:cs="Times New Roman"/>
          <w:i/>
          <w:color w:val="000000" w:themeColor="text1"/>
          <w:sz w:val="24"/>
          <w:szCs w:val="24"/>
        </w:rPr>
        <w:t>A abolição</w:t>
      </w:r>
      <w:r>
        <w:rPr>
          <w:rFonts w:ascii="Verdana" w:hAnsi="Verdana" w:cs="Times New Roman"/>
          <w:color w:val="000000" w:themeColor="text1"/>
          <w:sz w:val="24"/>
          <w:szCs w:val="24"/>
        </w:rPr>
        <w:t>. Editora da Unesp.</w:t>
      </w:r>
    </w:p>
    <w:p w14:paraId="598CCB11" w14:textId="77777777" w:rsidR="007562CB" w:rsidRDefault="00000000">
      <w:pPr>
        <w:spacing w:line="360" w:lineRule="auto"/>
        <w:ind w:left="426" w:hanging="426"/>
        <w:jc w:val="both"/>
        <w:rPr>
          <w:rFonts w:ascii="Verdana" w:hAnsi="Verdana"/>
          <w:sz w:val="24"/>
          <w:szCs w:val="24"/>
        </w:rPr>
      </w:pPr>
      <w:r>
        <w:rPr>
          <w:rFonts w:ascii="Verdana" w:hAnsi="Verdana" w:cs="Times New Roman"/>
          <w:color w:val="000000"/>
          <w:sz w:val="24"/>
          <w:szCs w:val="24"/>
        </w:rPr>
        <w:lastRenderedPageBreak/>
        <w:t xml:space="preserve">Eufrázio, F. F. (2022). Do genocídio da criança e do adolescente negro durante e após a escravidão. </w:t>
      </w:r>
      <w:r>
        <w:rPr>
          <w:rFonts w:ascii="Verdana" w:hAnsi="Verdana" w:cs="Times New Roman"/>
          <w:i/>
          <w:color w:val="000000"/>
          <w:sz w:val="24"/>
          <w:szCs w:val="24"/>
        </w:rPr>
        <w:t>Aedos</w:t>
      </w:r>
      <w:r>
        <w:rPr>
          <w:rFonts w:ascii="Verdana" w:hAnsi="Verdana" w:cs="Times New Roman"/>
          <w:color w:val="000000"/>
          <w:sz w:val="24"/>
          <w:szCs w:val="24"/>
        </w:rPr>
        <w:t xml:space="preserve">, </w:t>
      </w:r>
      <w:r>
        <w:rPr>
          <w:rFonts w:ascii="Verdana" w:hAnsi="Verdana" w:cs="Times New Roman"/>
          <w:i/>
          <w:color w:val="000000"/>
          <w:sz w:val="24"/>
          <w:szCs w:val="24"/>
        </w:rPr>
        <w:t>14</w:t>
      </w:r>
      <w:r>
        <w:rPr>
          <w:rFonts w:ascii="Verdana" w:hAnsi="Verdana" w:cs="Times New Roman"/>
          <w:color w:val="000000"/>
          <w:sz w:val="24"/>
          <w:szCs w:val="24"/>
        </w:rPr>
        <w:t>(31), pp. 172-186.</w:t>
      </w:r>
    </w:p>
    <w:p w14:paraId="09571F8C" w14:textId="77777777" w:rsidR="007562CB" w:rsidRDefault="00000000">
      <w:pPr>
        <w:spacing w:line="360" w:lineRule="auto"/>
        <w:ind w:left="426" w:hanging="426"/>
        <w:jc w:val="both"/>
        <w:rPr>
          <w:rFonts w:ascii="Verdana" w:hAnsi="Verdana"/>
          <w:sz w:val="24"/>
          <w:szCs w:val="24"/>
        </w:rPr>
      </w:pPr>
      <w:r>
        <w:rPr>
          <w:rFonts w:ascii="Verdana" w:hAnsi="Verdana" w:cs="Times New Roman"/>
          <w:color w:val="000000"/>
          <w:sz w:val="24"/>
          <w:szCs w:val="24"/>
        </w:rPr>
        <w:t xml:space="preserve">Faleiros, V. P. (1995). Infância e processo político no Brasil. </w:t>
      </w:r>
      <w:r>
        <w:rPr>
          <w:rFonts w:ascii="Verdana" w:hAnsi="Verdana" w:cs="Times New Roman"/>
          <w:color w:val="000000"/>
          <w:sz w:val="24"/>
          <w:szCs w:val="24"/>
          <w:lang w:val="en-US"/>
        </w:rPr>
        <w:t xml:space="preserve">In F. Pilotti, I. Rizzini (Orgs.). </w:t>
      </w:r>
      <w:r>
        <w:rPr>
          <w:rFonts w:ascii="Verdana" w:hAnsi="Verdana" w:cs="Times New Roman"/>
          <w:i/>
          <w:color w:val="000000"/>
          <w:sz w:val="24"/>
          <w:szCs w:val="24"/>
        </w:rPr>
        <w:t>A Arte de governar crianças: a história das políticas sociais, da legislação e da assistência à infância no Brasil</w:t>
      </w:r>
      <w:r>
        <w:rPr>
          <w:rFonts w:ascii="Verdana" w:hAnsi="Verdana" w:cs="Times New Roman"/>
          <w:color w:val="000000"/>
          <w:sz w:val="24"/>
          <w:szCs w:val="24"/>
        </w:rPr>
        <w:t>. Instituto Interamericano del Niño.</w:t>
      </w:r>
    </w:p>
    <w:p w14:paraId="6E620590" w14:textId="77777777" w:rsidR="007562CB" w:rsidRDefault="00000000">
      <w:pPr>
        <w:shd w:val="clear" w:color="auto" w:fill="FFFFFF"/>
        <w:spacing w:line="360" w:lineRule="auto"/>
        <w:ind w:left="426" w:right="-1" w:hanging="426"/>
        <w:jc w:val="both"/>
        <w:rPr>
          <w:rFonts w:ascii="Verdana" w:hAnsi="Verdana"/>
          <w:sz w:val="24"/>
          <w:szCs w:val="24"/>
        </w:rPr>
      </w:pPr>
      <w:r>
        <w:rPr>
          <w:rFonts w:ascii="Verdana" w:hAnsi="Verdana" w:cs="Times New Roman"/>
          <w:color w:val="000000" w:themeColor="text1"/>
          <w:sz w:val="24"/>
          <w:szCs w:val="24"/>
        </w:rPr>
        <w:t xml:space="preserve">Fanon, F. (2008). </w:t>
      </w:r>
      <w:r>
        <w:rPr>
          <w:rFonts w:ascii="Verdana" w:hAnsi="Verdana" w:cs="Times New Roman"/>
          <w:i/>
          <w:color w:val="000000" w:themeColor="text1"/>
          <w:sz w:val="24"/>
          <w:szCs w:val="24"/>
        </w:rPr>
        <w:t>Pele negra, máscaras brancas</w:t>
      </w:r>
      <w:r>
        <w:rPr>
          <w:rFonts w:ascii="Verdana" w:hAnsi="Verdana" w:cs="Times New Roman"/>
          <w:color w:val="000000" w:themeColor="text1"/>
          <w:sz w:val="24"/>
          <w:szCs w:val="24"/>
        </w:rPr>
        <w:t>. Editora da Universidade Federal da Bahia.</w:t>
      </w:r>
    </w:p>
    <w:p w14:paraId="417C5EFF" w14:textId="77777777" w:rsidR="007562CB" w:rsidRDefault="00000000">
      <w:pPr>
        <w:spacing w:line="360" w:lineRule="auto"/>
        <w:ind w:left="426" w:right="-1" w:hanging="426"/>
        <w:jc w:val="both"/>
        <w:rPr>
          <w:rFonts w:ascii="Verdana" w:hAnsi="Verdana"/>
          <w:sz w:val="24"/>
          <w:szCs w:val="24"/>
        </w:rPr>
      </w:pPr>
      <w:r>
        <w:rPr>
          <w:rFonts w:ascii="Verdana" w:hAnsi="Verdana" w:cs="Times New Roman"/>
          <w:color w:val="000000" w:themeColor="text1"/>
          <w:sz w:val="24"/>
          <w:szCs w:val="24"/>
        </w:rPr>
        <w:t xml:space="preserve">Foucault, M. (2003). </w:t>
      </w:r>
      <w:r>
        <w:rPr>
          <w:rFonts w:ascii="Verdana" w:hAnsi="Verdana" w:cs="Times New Roman"/>
          <w:i/>
          <w:color w:val="000000" w:themeColor="text1"/>
          <w:sz w:val="24"/>
          <w:szCs w:val="24"/>
        </w:rPr>
        <w:t>A ordem do discurso</w:t>
      </w:r>
      <w:r>
        <w:rPr>
          <w:rFonts w:ascii="Verdana" w:hAnsi="Verdana" w:cs="Times New Roman"/>
          <w:color w:val="000000" w:themeColor="text1"/>
          <w:sz w:val="24"/>
          <w:szCs w:val="24"/>
        </w:rPr>
        <w:t>. Loyola.</w:t>
      </w:r>
    </w:p>
    <w:p w14:paraId="5B5535E0" w14:textId="77777777" w:rsidR="007562CB" w:rsidRDefault="00000000">
      <w:pPr>
        <w:spacing w:line="360" w:lineRule="auto"/>
        <w:ind w:left="426" w:right="-1" w:hanging="426"/>
        <w:jc w:val="both"/>
        <w:rPr>
          <w:rFonts w:ascii="Verdana" w:hAnsi="Verdana"/>
          <w:sz w:val="24"/>
          <w:szCs w:val="24"/>
        </w:rPr>
      </w:pPr>
      <w:r>
        <w:rPr>
          <w:rFonts w:ascii="Verdana" w:hAnsi="Verdana" w:cs="Times New Roman"/>
          <w:color w:val="000000" w:themeColor="text1"/>
          <w:sz w:val="24"/>
          <w:szCs w:val="24"/>
        </w:rPr>
        <w:t xml:space="preserve">Foucault, M. (1999). </w:t>
      </w:r>
      <w:r>
        <w:rPr>
          <w:rFonts w:ascii="Verdana" w:hAnsi="Verdana" w:cs="Times New Roman"/>
          <w:i/>
          <w:color w:val="000000" w:themeColor="text1"/>
          <w:sz w:val="24"/>
          <w:szCs w:val="24"/>
        </w:rPr>
        <w:t>Em defesa da sociedade</w:t>
      </w:r>
      <w:r>
        <w:rPr>
          <w:rFonts w:ascii="Verdana" w:hAnsi="Verdana" w:cs="Times New Roman"/>
          <w:color w:val="000000" w:themeColor="text1"/>
          <w:sz w:val="24"/>
          <w:szCs w:val="24"/>
        </w:rPr>
        <w:t>. Martins Fontes.</w:t>
      </w:r>
    </w:p>
    <w:p w14:paraId="6F00B906" w14:textId="77777777" w:rsidR="007562CB" w:rsidRDefault="00000000">
      <w:pPr>
        <w:spacing w:line="360" w:lineRule="auto"/>
        <w:ind w:left="426" w:hanging="426"/>
        <w:jc w:val="both"/>
        <w:rPr>
          <w:rFonts w:ascii="Verdana" w:hAnsi="Verdana"/>
          <w:sz w:val="24"/>
          <w:szCs w:val="24"/>
        </w:rPr>
      </w:pPr>
      <w:r>
        <w:rPr>
          <w:rFonts w:ascii="Verdana" w:hAnsi="Verdana" w:cs="Times New Roman"/>
          <w:color w:val="000000" w:themeColor="text1"/>
          <w:sz w:val="24"/>
          <w:szCs w:val="24"/>
        </w:rPr>
        <w:t xml:space="preserve">Foucault, M. (1989). </w:t>
      </w:r>
      <w:r>
        <w:rPr>
          <w:rFonts w:ascii="Verdana" w:hAnsi="Verdana" w:cs="Times New Roman"/>
          <w:i/>
          <w:color w:val="000000" w:themeColor="text1"/>
          <w:sz w:val="24"/>
          <w:szCs w:val="24"/>
        </w:rPr>
        <w:t>Microfísica do Poder</w:t>
      </w:r>
      <w:r>
        <w:rPr>
          <w:rFonts w:ascii="Verdana" w:hAnsi="Verdana" w:cs="Times New Roman"/>
          <w:color w:val="000000" w:themeColor="text1"/>
          <w:sz w:val="24"/>
          <w:szCs w:val="24"/>
        </w:rPr>
        <w:t>. Graal.</w:t>
      </w:r>
    </w:p>
    <w:p w14:paraId="09C7158B" w14:textId="77777777" w:rsidR="007562CB" w:rsidRDefault="00000000">
      <w:pPr>
        <w:spacing w:line="360" w:lineRule="auto"/>
        <w:ind w:left="426" w:hanging="426"/>
        <w:jc w:val="both"/>
        <w:rPr>
          <w:rFonts w:ascii="Verdana" w:hAnsi="Verdana"/>
          <w:sz w:val="24"/>
          <w:szCs w:val="24"/>
        </w:rPr>
      </w:pPr>
      <w:r>
        <w:rPr>
          <w:rFonts w:ascii="Verdana" w:hAnsi="Verdana" w:cs="Times New Roman"/>
          <w:sz w:val="24"/>
          <w:szCs w:val="24"/>
        </w:rPr>
        <w:t xml:space="preserve">Gertze, J. M. (1990). Notas para o Estudo da Mortalidade Infantil Entre a População Escrava no Rio Grande do Sul (1850-1872). </w:t>
      </w:r>
      <w:r>
        <w:rPr>
          <w:rFonts w:ascii="Verdana" w:hAnsi="Verdana" w:cs="Times New Roman"/>
          <w:i/>
          <w:sz w:val="24"/>
          <w:szCs w:val="24"/>
        </w:rPr>
        <w:t>Estudos Ibero-Americanos</w:t>
      </w:r>
      <w:r>
        <w:rPr>
          <w:rFonts w:ascii="Verdana" w:hAnsi="Verdana" w:cs="Times New Roman"/>
          <w:sz w:val="24"/>
          <w:szCs w:val="24"/>
        </w:rPr>
        <w:t xml:space="preserve">, PUCRS, </w:t>
      </w:r>
      <w:r>
        <w:rPr>
          <w:rFonts w:ascii="Verdana" w:hAnsi="Verdana" w:cs="Times New Roman"/>
          <w:i/>
          <w:sz w:val="24"/>
          <w:szCs w:val="24"/>
        </w:rPr>
        <w:t>16</w:t>
      </w:r>
      <w:r>
        <w:rPr>
          <w:rFonts w:ascii="Verdana" w:hAnsi="Verdana" w:cs="Times New Roman"/>
          <w:sz w:val="24"/>
          <w:szCs w:val="24"/>
        </w:rPr>
        <w:t>(1,2), 137-159. https://www.researchgate.net/publication/338759229_Notas_para_o_Estudo_da_Mortalidade_Infantil_Entre_a_Populacao_Escrava_no_Rio_Grande_do_Sul_1850-1872</w:t>
      </w:r>
    </w:p>
    <w:p w14:paraId="35921A70" w14:textId="77777777" w:rsidR="007562CB" w:rsidRDefault="00000000">
      <w:pPr>
        <w:spacing w:line="360" w:lineRule="auto"/>
        <w:ind w:left="426" w:right="-1" w:hanging="426"/>
        <w:jc w:val="both"/>
        <w:rPr>
          <w:rFonts w:ascii="Verdana" w:hAnsi="Verdana"/>
          <w:sz w:val="24"/>
          <w:szCs w:val="24"/>
        </w:rPr>
      </w:pPr>
      <w:r>
        <w:rPr>
          <w:rFonts w:ascii="Verdana" w:hAnsi="Verdana" w:cs="Times New Roman"/>
          <w:color w:val="000000" w:themeColor="text1"/>
          <w:sz w:val="24"/>
          <w:szCs w:val="24"/>
        </w:rPr>
        <w:t>Gorender, J. (1980). </w:t>
      </w:r>
      <w:r>
        <w:rPr>
          <w:rFonts w:ascii="Verdana" w:hAnsi="Verdana" w:cs="Times New Roman"/>
          <w:i/>
          <w:color w:val="000000" w:themeColor="text1"/>
          <w:sz w:val="24"/>
          <w:szCs w:val="24"/>
        </w:rPr>
        <w:t>Escravismo colonial</w:t>
      </w:r>
      <w:r>
        <w:rPr>
          <w:rFonts w:ascii="Verdana" w:hAnsi="Verdana" w:cs="Times New Roman"/>
          <w:color w:val="000000" w:themeColor="text1"/>
          <w:sz w:val="24"/>
          <w:szCs w:val="24"/>
        </w:rPr>
        <w:t xml:space="preserve">. Ática. </w:t>
      </w:r>
    </w:p>
    <w:p w14:paraId="410D0338" w14:textId="77777777" w:rsidR="007562CB" w:rsidRDefault="00000000">
      <w:pPr>
        <w:spacing w:line="360" w:lineRule="auto"/>
        <w:ind w:left="426" w:hanging="426"/>
        <w:rPr>
          <w:rFonts w:ascii="Verdana" w:hAnsi="Verdana"/>
          <w:sz w:val="24"/>
          <w:szCs w:val="24"/>
        </w:rPr>
      </w:pPr>
      <w:r>
        <w:rPr>
          <w:rFonts w:ascii="Verdana" w:hAnsi="Verdana" w:cs="Times New Roman"/>
          <w:color w:val="000000" w:themeColor="text1"/>
          <w:sz w:val="24"/>
          <w:szCs w:val="24"/>
        </w:rPr>
        <w:t xml:space="preserve">Gorender, J. (1991). </w:t>
      </w:r>
      <w:r>
        <w:rPr>
          <w:rFonts w:ascii="Verdana" w:hAnsi="Verdana" w:cs="Times New Roman"/>
          <w:i/>
          <w:color w:val="000000" w:themeColor="text1"/>
          <w:sz w:val="24"/>
          <w:szCs w:val="24"/>
        </w:rPr>
        <w:t>A escravidão reabilitada</w:t>
      </w:r>
      <w:r>
        <w:rPr>
          <w:rFonts w:ascii="Verdana" w:hAnsi="Verdana" w:cs="Times New Roman"/>
          <w:color w:val="000000" w:themeColor="text1"/>
          <w:sz w:val="24"/>
          <w:szCs w:val="24"/>
        </w:rPr>
        <w:t>. Ática.</w:t>
      </w:r>
    </w:p>
    <w:p w14:paraId="2B414E97" w14:textId="77777777" w:rsidR="007562CB" w:rsidRDefault="00000000">
      <w:pPr>
        <w:spacing w:line="360" w:lineRule="auto"/>
        <w:ind w:left="426" w:hanging="426"/>
        <w:jc w:val="both"/>
        <w:rPr>
          <w:rFonts w:ascii="Verdana" w:hAnsi="Verdana"/>
          <w:sz w:val="24"/>
          <w:szCs w:val="24"/>
        </w:rPr>
      </w:pPr>
      <w:r>
        <w:rPr>
          <w:rFonts w:ascii="Verdana" w:hAnsi="Verdana" w:cs="Times New Roman"/>
          <w:color w:val="000000"/>
          <w:sz w:val="24"/>
          <w:szCs w:val="24"/>
        </w:rPr>
        <w:t xml:space="preserve">Jovino, I. da S. (2010). </w:t>
      </w:r>
      <w:r>
        <w:rPr>
          <w:rFonts w:ascii="Verdana" w:hAnsi="Verdana" w:cs="Times New Roman"/>
          <w:i/>
          <w:color w:val="000000"/>
          <w:sz w:val="24"/>
          <w:szCs w:val="24"/>
        </w:rPr>
        <w:t>Crianças negras em imagens do século XIX</w:t>
      </w:r>
      <w:r>
        <w:rPr>
          <w:rFonts w:ascii="Verdana" w:hAnsi="Verdana" w:cs="Times New Roman"/>
          <w:color w:val="000000"/>
          <w:sz w:val="24"/>
          <w:szCs w:val="24"/>
        </w:rPr>
        <w:t xml:space="preserve"> [Tese de Doutorado em Educação, Universidade Federal de São Carlos, São Carlos].</w:t>
      </w:r>
    </w:p>
    <w:p w14:paraId="0370C921" w14:textId="77777777" w:rsidR="007562CB" w:rsidRDefault="00000000">
      <w:pPr>
        <w:shd w:val="clear" w:color="auto" w:fill="FFFFFF"/>
        <w:spacing w:line="360" w:lineRule="auto"/>
        <w:ind w:left="426" w:right="-1" w:hanging="426"/>
        <w:jc w:val="both"/>
        <w:rPr>
          <w:rFonts w:ascii="Verdana" w:hAnsi="Verdana"/>
          <w:sz w:val="24"/>
          <w:szCs w:val="24"/>
        </w:rPr>
      </w:pPr>
      <w:r>
        <w:rPr>
          <w:rFonts w:ascii="Verdana" w:hAnsi="Verdana" w:cs="Times New Roman"/>
          <w:color w:val="000000" w:themeColor="text1"/>
          <w:sz w:val="24"/>
          <w:szCs w:val="24"/>
        </w:rPr>
        <w:t>Lana, L. da G. L., Venâncio, R. P. (1988). Os órfãos da lei: o abandono de crianças negras no Rio de Janeiro após 1871. </w:t>
      </w:r>
      <w:r>
        <w:rPr>
          <w:rFonts w:ascii="Verdana" w:hAnsi="Verdana" w:cs="Times New Roman"/>
          <w:i/>
          <w:color w:val="000000" w:themeColor="text1"/>
          <w:sz w:val="24"/>
          <w:szCs w:val="24"/>
        </w:rPr>
        <w:t>Estudos Afro-Asiáticos</w:t>
      </w:r>
      <w:r>
        <w:rPr>
          <w:rFonts w:ascii="Verdana" w:hAnsi="Verdana" w:cs="Times New Roman"/>
          <w:color w:val="000000" w:themeColor="text1"/>
          <w:sz w:val="24"/>
          <w:szCs w:val="24"/>
        </w:rPr>
        <w:t xml:space="preserve">, (15), 24-42. </w:t>
      </w:r>
    </w:p>
    <w:p w14:paraId="18E0BB67" w14:textId="77777777" w:rsidR="007562CB" w:rsidRDefault="00000000">
      <w:pPr>
        <w:shd w:val="clear" w:color="auto" w:fill="FFFFFF"/>
        <w:spacing w:line="360" w:lineRule="auto"/>
        <w:ind w:left="426" w:right="-1" w:hanging="426"/>
        <w:jc w:val="both"/>
        <w:rPr>
          <w:rFonts w:ascii="Verdana" w:hAnsi="Verdana"/>
          <w:sz w:val="24"/>
          <w:szCs w:val="24"/>
        </w:rPr>
      </w:pPr>
      <w:r>
        <w:rPr>
          <w:rFonts w:ascii="Verdana" w:hAnsi="Verdana" w:cs="Times New Roman"/>
          <w:color w:val="000000" w:themeColor="text1"/>
          <w:sz w:val="24"/>
          <w:szCs w:val="24"/>
        </w:rPr>
        <w:t xml:space="preserve">Marcílio, M. L., Venâncio, R. P. (1990). Crianças abandonadas e primitivas formas de sua proteção. </w:t>
      </w:r>
      <w:r>
        <w:rPr>
          <w:rFonts w:ascii="Verdana" w:hAnsi="Verdana" w:cs="Times New Roman"/>
          <w:color w:val="000000" w:themeColor="text1"/>
          <w:sz w:val="24"/>
          <w:szCs w:val="24"/>
          <w:lang w:val="en-US"/>
        </w:rPr>
        <w:t xml:space="preserve">Séculos XVIII e XIX. In A. van der Woude </w:t>
      </w:r>
      <w:r>
        <w:rPr>
          <w:rFonts w:ascii="Verdana" w:hAnsi="Verdana" w:cs="Times New Roman"/>
          <w:color w:val="000000" w:themeColor="text1"/>
          <w:sz w:val="24"/>
          <w:szCs w:val="24"/>
          <w:lang w:val="en-US"/>
        </w:rPr>
        <w:lastRenderedPageBreak/>
        <w:t>(Org.). </w:t>
      </w:r>
      <w:r>
        <w:rPr>
          <w:rFonts w:ascii="Verdana" w:hAnsi="Verdana" w:cs="Times New Roman"/>
          <w:i/>
          <w:color w:val="000000" w:themeColor="text1"/>
          <w:sz w:val="24"/>
          <w:szCs w:val="24"/>
          <w:lang w:val="en-US"/>
        </w:rPr>
        <w:t>The Role of the State and Public Opinion in Sexual Attitudes and Demographic Behavior</w:t>
      </w:r>
      <w:r>
        <w:rPr>
          <w:rFonts w:ascii="Verdana" w:hAnsi="Verdana" w:cs="Times New Roman"/>
          <w:color w:val="000000" w:themeColor="text1"/>
          <w:sz w:val="24"/>
          <w:szCs w:val="24"/>
          <w:lang w:val="en-US"/>
        </w:rPr>
        <w:t xml:space="preserve"> (pp. 509-519). </w:t>
      </w:r>
      <w:r>
        <w:rPr>
          <w:rFonts w:ascii="Verdana" w:hAnsi="Verdana" w:cs="Times New Roman"/>
          <w:color w:val="000000" w:themeColor="text1"/>
          <w:sz w:val="24"/>
          <w:szCs w:val="24"/>
        </w:rPr>
        <w:t xml:space="preserve">CIDH. </w:t>
      </w:r>
    </w:p>
    <w:p w14:paraId="00820BAE" w14:textId="77777777" w:rsidR="007562CB" w:rsidRDefault="00000000">
      <w:pPr>
        <w:shd w:val="clear" w:color="auto" w:fill="FFFFFF"/>
        <w:spacing w:line="360" w:lineRule="auto"/>
        <w:ind w:left="426" w:right="-1" w:hanging="426"/>
        <w:jc w:val="both"/>
        <w:rPr>
          <w:rFonts w:ascii="Verdana" w:hAnsi="Verdana"/>
          <w:sz w:val="24"/>
          <w:szCs w:val="24"/>
        </w:rPr>
      </w:pPr>
      <w:r>
        <w:rPr>
          <w:rFonts w:ascii="Verdana" w:hAnsi="Verdana" w:cs="Times New Roman"/>
          <w:color w:val="000000" w:themeColor="text1"/>
          <w:sz w:val="24"/>
          <w:szCs w:val="24"/>
        </w:rPr>
        <w:t>Marcílio, M. L. (1993). A Irmandade da Santa Casa de Misericórdia e a assistência à criança abandonada na História do Brasil. In Marcílio, M. L. (Org.). </w:t>
      </w:r>
      <w:r>
        <w:rPr>
          <w:rFonts w:ascii="Verdana" w:hAnsi="Verdana" w:cs="Times New Roman"/>
          <w:i/>
          <w:color w:val="000000" w:themeColor="text1"/>
          <w:sz w:val="24"/>
          <w:szCs w:val="24"/>
        </w:rPr>
        <w:t>Família, mulher, sexualidade e Igreja na História do Brasil</w:t>
      </w:r>
      <w:r>
        <w:rPr>
          <w:rFonts w:ascii="Verdana" w:hAnsi="Verdana" w:cs="Times New Roman"/>
          <w:color w:val="000000" w:themeColor="text1"/>
          <w:sz w:val="24"/>
          <w:szCs w:val="24"/>
        </w:rPr>
        <w:t>.  Loyola, CEDHAL, CEHILA.</w:t>
      </w:r>
    </w:p>
    <w:p w14:paraId="1806BA9A" w14:textId="77777777" w:rsidR="007562CB" w:rsidRDefault="00000000">
      <w:pPr>
        <w:shd w:val="clear" w:color="auto" w:fill="FFFFFF"/>
        <w:spacing w:line="360" w:lineRule="auto"/>
        <w:ind w:left="426" w:right="-1" w:hanging="426"/>
        <w:jc w:val="both"/>
        <w:rPr>
          <w:rFonts w:ascii="Verdana" w:hAnsi="Verdana"/>
          <w:sz w:val="24"/>
          <w:szCs w:val="24"/>
        </w:rPr>
      </w:pPr>
      <w:r>
        <w:rPr>
          <w:rFonts w:ascii="Verdana" w:hAnsi="Verdana" w:cs="Times New Roman"/>
          <w:color w:val="000000" w:themeColor="text1"/>
          <w:sz w:val="24"/>
          <w:szCs w:val="24"/>
        </w:rPr>
        <w:t>Marcílio, M. L. (1997). A roda dos expostos e a criança abandonada na História do Brasil, 1726-1950. In M. C. de Freitas (Org.). </w:t>
      </w:r>
      <w:r>
        <w:rPr>
          <w:rFonts w:ascii="Verdana" w:hAnsi="Verdana" w:cs="Times New Roman"/>
          <w:i/>
          <w:color w:val="000000" w:themeColor="text1"/>
          <w:sz w:val="24"/>
          <w:szCs w:val="24"/>
        </w:rPr>
        <w:t>História social da infância no Brasil</w:t>
      </w:r>
      <w:r>
        <w:rPr>
          <w:rFonts w:ascii="Verdana" w:hAnsi="Verdana" w:cs="Times New Roman"/>
          <w:color w:val="000000" w:themeColor="text1"/>
          <w:sz w:val="24"/>
          <w:szCs w:val="24"/>
        </w:rPr>
        <w:t xml:space="preserve"> (pp. 51-76). Cortez, USF.</w:t>
      </w:r>
    </w:p>
    <w:p w14:paraId="553155C0" w14:textId="77777777" w:rsidR="007562CB" w:rsidRDefault="00000000">
      <w:pPr>
        <w:shd w:val="clear" w:color="auto" w:fill="FFFFFF"/>
        <w:spacing w:line="360" w:lineRule="auto"/>
        <w:ind w:left="426" w:right="-1" w:hanging="426"/>
        <w:jc w:val="both"/>
        <w:rPr>
          <w:rFonts w:ascii="Verdana" w:hAnsi="Verdana"/>
          <w:sz w:val="24"/>
          <w:szCs w:val="24"/>
        </w:rPr>
      </w:pPr>
      <w:r>
        <w:rPr>
          <w:rFonts w:ascii="Verdana" w:hAnsi="Verdana" w:cs="Times New Roman"/>
          <w:color w:val="000000" w:themeColor="text1"/>
          <w:sz w:val="24"/>
          <w:szCs w:val="24"/>
        </w:rPr>
        <w:t>Marcílio, M. L. (1996). Marginalidade, pobreza e abandono de crianças no Brasil: séculos XVIII e XIX. </w:t>
      </w:r>
      <w:r>
        <w:rPr>
          <w:rFonts w:ascii="Verdana" w:hAnsi="Verdana" w:cs="Times New Roman"/>
          <w:i/>
          <w:color w:val="000000" w:themeColor="text1"/>
          <w:sz w:val="24"/>
          <w:szCs w:val="24"/>
        </w:rPr>
        <w:t>Revista de Ciências Históricas</w:t>
      </w:r>
      <w:r>
        <w:rPr>
          <w:rFonts w:ascii="Verdana" w:hAnsi="Verdana" w:cs="Times New Roman"/>
          <w:color w:val="000000" w:themeColor="text1"/>
          <w:sz w:val="24"/>
          <w:szCs w:val="24"/>
        </w:rPr>
        <w:t>, (11), 163-173.</w:t>
      </w:r>
    </w:p>
    <w:p w14:paraId="60B387BE" w14:textId="77777777" w:rsidR="007562CB" w:rsidRDefault="00000000">
      <w:pPr>
        <w:shd w:val="clear" w:color="auto" w:fill="FFFFFF"/>
        <w:spacing w:line="360" w:lineRule="auto"/>
        <w:ind w:left="426" w:right="-1" w:hanging="426"/>
        <w:jc w:val="both"/>
        <w:rPr>
          <w:rFonts w:ascii="Verdana" w:hAnsi="Verdana"/>
          <w:sz w:val="24"/>
          <w:szCs w:val="24"/>
        </w:rPr>
      </w:pPr>
      <w:r>
        <w:rPr>
          <w:rFonts w:ascii="Verdana" w:hAnsi="Verdana" w:cs="Times New Roman"/>
          <w:color w:val="000000" w:themeColor="text1"/>
          <w:sz w:val="24"/>
          <w:szCs w:val="24"/>
        </w:rPr>
        <w:t>Marcílio, M. L. (1995). O abandono de crianças no Brasil antigo: miséria, ilegitimidade e orfandade. </w:t>
      </w:r>
      <w:r>
        <w:rPr>
          <w:rFonts w:ascii="Verdana" w:hAnsi="Verdana" w:cs="Times New Roman"/>
          <w:i/>
          <w:color w:val="000000" w:themeColor="text1"/>
          <w:sz w:val="24"/>
          <w:szCs w:val="24"/>
        </w:rPr>
        <w:t>História</w:t>
      </w:r>
      <w:r>
        <w:rPr>
          <w:rFonts w:ascii="Verdana" w:hAnsi="Verdana" w:cs="Times New Roman"/>
          <w:color w:val="000000" w:themeColor="text1"/>
          <w:sz w:val="24"/>
          <w:szCs w:val="24"/>
        </w:rPr>
        <w:t xml:space="preserve">, </w:t>
      </w:r>
      <w:r>
        <w:rPr>
          <w:rFonts w:ascii="Verdana" w:hAnsi="Verdana" w:cs="Times New Roman"/>
          <w:i/>
          <w:color w:val="000000" w:themeColor="text1"/>
          <w:sz w:val="24"/>
          <w:szCs w:val="24"/>
        </w:rPr>
        <w:t>14</w:t>
      </w:r>
      <w:r>
        <w:rPr>
          <w:rFonts w:ascii="Verdana" w:hAnsi="Verdana" w:cs="Times New Roman"/>
          <w:color w:val="000000" w:themeColor="text1"/>
          <w:sz w:val="24"/>
          <w:szCs w:val="24"/>
        </w:rPr>
        <w:t>, 153-171.</w:t>
      </w:r>
    </w:p>
    <w:p w14:paraId="626B7636" w14:textId="77777777" w:rsidR="007562CB" w:rsidRDefault="00000000">
      <w:pPr>
        <w:spacing w:line="360" w:lineRule="auto"/>
        <w:ind w:left="426" w:right="-1" w:hanging="426"/>
        <w:jc w:val="both"/>
        <w:rPr>
          <w:rFonts w:ascii="Verdana" w:hAnsi="Verdana"/>
          <w:sz w:val="24"/>
          <w:szCs w:val="24"/>
        </w:rPr>
      </w:pPr>
      <w:r>
        <w:rPr>
          <w:rFonts w:ascii="Verdana" w:hAnsi="Verdana" w:cs="Times New Roman"/>
          <w:color w:val="000000" w:themeColor="text1"/>
          <w:sz w:val="24"/>
          <w:szCs w:val="24"/>
        </w:rPr>
        <w:t xml:space="preserve">Mbembe, A. (2011). </w:t>
      </w:r>
      <w:r>
        <w:rPr>
          <w:rFonts w:ascii="Verdana" w:hAnsi="Verdana" w:cs="Times New Roman"/>
          <w:i/>
          <w:color w:val="000000" w:themeColor="text1"/>
          <w:sz w:val="24"/>
          <w:szCs w:val="24"/>
        </w:rPr>
        <w:t>Necropolitica: seguido de sobre el gobierno privado indirecto</w:t>
      </w:r>
      <w:r>
        <w:rPr>
          <w:rFonts w:ascii="Verdana" w:hAnsi="Verdana" w:cs="Times New Roman"/>
          <w:color w:val="000000" w:themeColor="text1"/>
          <w:sz w:val="24"/>
          <w:szCs w:val="24"/>
        </w:rPr>
        <w:t xml:space="preserve">. Melusina. </w:t>
      </w:r>
    </w:p>
    <w:p w14:paraId="4FA2EEED" w14:textId="77777777" w:rsidR="007562CB" w:rsidRDefault="00000000">
      <w:pPr>
        <w:shd w:val="clear" w:color="auto" w:fill="FFFFFF"/>
        <w:spacing w:line="360" w:lineRule="auto"/>
        <w:ind w:left="426" w:right="-1" w:hanging="426"/>
        <w:jc w:val="both"/>
        <w:rPr>
          <w:rFonts w:ascii="Verdana" w:hAnsi="Verdana"/>
          <w:sz w:val="24"/>
          <w:szCs w:val="24"/>
        </w:rPr>
      </w:pPr>
      <w:r>
        <w:rPr>
          <w:rFonts w:ascii="Verdana" w:hAnsi="Verdana" w:cs="Times New Roman"/>
          <w:color w:val="000000" w:themeColor="text1"/>
          <w:sz w:val="24"/>
          <w:szCs w:val="24"/>
        </w:rPr>
        <w:t>Moraes, C. S. V. (2000). A normatização da pobreza: crianças abandonadas e criança infratoras. </w:t>
      </w:r>
      <w:r>
        <w:rPr>
          <w:rFonts w:ascii="Verdana" w:hAnsi="Verdana" w:cs="Times New Roman"/>
          <w:i/>
          <w:color w:val="000000" w:themeColor="text1"/>
          <w:sz w:val="24"/>
          <w:szCs w:val="24"/>
        </w:rPr>
        <w:t>Revista Brasileira de Educação: 500 anos; imagens e vozes da educação</w:t>
      </w:r>
      <w:r>
        <w:rPr>
          <w:rFonts w:ascii="Verdana" w:hAnsi="Verdana" w:cs="Times New Roman"/>
          <w:color w:val="000000" w:themeColor="text1"/>
          <w:sz w:val="24"/>
          <w:szCs w:val="24"/>
        </w:rPr>
        <w:t>, (15), 70-96.</w:t>
      </w:r>
    </w:p>
    <w:p w14:paraId="38B4D6DC" w14:textId="77777777" w:rsidR="007562CB" w:rsidRDefault="00000000">
      <w:pPr>
        <w:spacing w:line="360" w:lineRule="auto"/>
        <w:ind w:left="426" w:right="-1" w:hanging="426"/>
        <w:jc w:val="both"/>
        <w:rPr>
          <w:rFonts w:ascii="Verdana" w:hAnsi="Verdana"/>
          <w:sz w:val="24"/>
          <w:szCs w:val="24"/>
        </w:rPr>
      </w:pPr>
      <w:r>
        <w:rPr>
          <w:rFonts w:ascii="Verdana" w:hAnsi="Verdana" w:cs="Times New Roman"/>
          <w:color w:val="000000" w:themeColor="text1"/>
          <w:sz w:val="24"/>
          <w:szCs w:val="24"/>
        </w:rPr>
        <w:t xml:space="preserve">Russell-Wood, A. J. R. (1981). </w:t>
      </w:r>
      <w:r>
        <w:rPr>
          <w:rFonts w:ascii="Verdana" w:hAnsi="Verdana" w:cs="Times New Roman"/>
          <w:i/>
          <w:color w:val="000000" w:themeColor="text1"/>
          <w:sz w:val="24"/>
          <w:szCs w:val="24"/>
        </w:rPr>
        <w:t>Fidalgos e filantropos: a Santa Casa da Misericórdia da Bahia, 1550-1755</w:t>
      </w:r>
      <w:r>
        <w:rPr>
          <w:rFonts w:ascii="Verdana" w:hAnsi="Verdana" w:cs="Times New Roman"/>
          <w:color w:val="000000" w:themeColor="text1"/>
          <w:sz w:val="24"/>
          <w:szCs w:val="24"/>
        </w:rPr>
        <w:t xml:space="preserve">. Editora da Universidade de Brasília. </w:t>
      </w:r>
    </w:p>
    <w:p w14:paraId="0CA38AD2" w14:textId="77777777" w:rsidR="007562CB" w:rsidRDefault="00000000">
      <w:pPr>
        <w:spacing w:line="360" w:lineRule="auto"/>
        <w:ind w:left="426" w:hanging="426"/>
        <w:jc w:val="both"/>
        <w:rPr>
          <w:rFonts w:ascii="Verdana" w:hAnsi="Verdana"/>
          <w:sz w:val="24"/>
          <w:szCs w:val="24"/>
        </w:rPr>
      </w:pPr>
      <w:r>
        <w:rPr>
          <w:rFonts w:ascii="Verdana" w:hAnsi="Verdana" w:cs="Times New Roman"/>
          <w:color w:val="000000" w:themeColor="text1"/>
          <w:sz w:val="24"/>
          <w:szCs w:val="24"/>
        </w:rPr>
        <w:t xml:space="preserve">Russell-Wood, A. J. R. (2021). </w:t>
      </w:r>
      <w:r>
        <w:rPr>
          <w:rFonts w:ascii="Verdana" w:hAnsi="Verdana" w:cs="Times New Roman"/>
          <w:i/>
          <w:color w:val="000000" w:themeColor="text1"/>
          <w:sz w:val="24"/>
          <w:szCs w:val="24"/>
        </w:rPr>
        <w:t>História do Atlântico português</w:t>
      </w:r>
      <w:r>
        <w:rPr>
          <w:rFonts w:ascii="Verdana" w:hAnsi="Verdana" w:cs="Times New Roman"/>
          <w:color w:val="000000" w:themeColor="text1"/>
          <w:sz w:val="24"/>
          <w:szCs w:val="24"/>
        </w:rPr>
        <w:t>. Editora da Universidade Estadual Paulista.</w:t>
      </w:r>
    </w:p>
    <w:p w14:paraId="7911460B" w14:textId="77777777" w:rsidR="007562CB" w:rsidRDefault="00000000">
      <w:pPr>
        <w:spacing w:line="360" w:lineRule="auto"/>
        <w:ind w:left="426" w:right="-1" w:hanging="426"/>
        <w:jc w:val="both"/>
        <w:rPr>
          <w:rFonts w:ascii="Verdana" w:hAnsi="Verdana"/>
          <w:sz w:val="24"/>
          <w:szCs w:val="24"/>
        </w:rPr>
      </w:pPr>
      <w:r>
        <w:rPr>
          <w:rFonts w:ascii="Verdana" w:hAnsi="Verdana" w:cs="Times New Roman"/>
          <w:color w:val="000000" w:themeColor="text1"/>
          <w:sz w:val="24"/>
          <w:szCs w:val="24"/>
        </w:rPr>
        <w:t xml:space="preserve">Said, E. (2020). </w:t>
      </w:r>
      <w:r>
        <w:rPr>
          <w:rFonts w:ascii="Verdana" w:hAnsi="Verdana" w:cs="Times New Roman"/>
          <w:i/>
          <w:color w:val="000000" w:themeColor="text1"/>
          <w:sz w:val="24"/>
          <w:szCs w:val="24"/>
        </w:rPr>
        <w:t>Cultura e imperialismo</w:t>
      </w:r>
      <w:r>
        <w:rPr>
          <w:rFonts w:ascii="Verdana" w:hAnsi="Verdana" w:cs="Times New Roman"/>
          <w:color w:val="000000" w:themeColor="text1"/>
          <w:sz w:val="24"/>
          <w:szCs w:val="24"/>
        </w:rPr>
        <w:t xml:space="preserve">. Companhia de Bolso. </w:t>
      </w:r>
    </w:p>
    <w:p w14:paraId="26B91733" w14:textId="77777777" w:rsidR="007562CB" w:rsidRDefault="00000000">
      <w:pPr>
        <w:spacing w:line="360" w:lineRule="auto"/>
        <w:ind w:left="426" w:hanging="426"/>
        <w:jc w:val="both"/>
        <w:rPr>
          <w:rFonts w:ascii="Verdana" w:hAnsi="Verdana"/>
          <w:sz w:val="24"/>
          <w:szCs w:val="24"/>
        </w:rPr>
      </w:pPr>
      <w:r>
        <w:rPr>
          <w:rFonts w:ascii="Verdana" w:hAnsi="Verdana" w:cs="Times New Roman"/>
          <w:color w:val="000000"/>
          <w:sz w:val="24"/>
          <w:szCs w:val="24"/>
        </w:rPr>
        <w:t xml:space="preserve">Santos, G. (2000). </w:t>
      </w:r>
      <w:r>
        <w:rPr>
          <w:rFonts w:ascii="Verdana" w:hAnsi="Verdana" w:cs="Times New Roman"/>
          <w:i/>
          <w:color w:val="000000"/>
          <w:sz w:val="24"/>
          <w:szCs w:val="24"/>
        </w:rPr>
        <w:t>Da Lei do Ventre Livre ao Estatuto da Criança e do Adolescente: uma abordagem de interesse da juventude negra</w:t>
      </w:r>
      <w:r>
        <w:rPr>
          <w:rFonts w:ascii="Verdana" w:hAnsi="Verdana" w:cs="Times New Roman"/>
          <w:color w:val="000000"/>
          <w:sz w:val="24"/>
          <w:szCs w:val="24"/>
        </w:rPr>
        <w:t xml:space="preserve">. BIS#44/Abri. </w:t>
      </w:r>
    </w:p>
    <w:p w14:paraId="25BBB51A" w14:textId="77777777" w:rsidR="007562CB" w:rsidRDefault="00000000">
      <w:pPr>
        <w:spacing w:line="360" w:lineRule="auto"/>
        <w:ind w:left="426" w:hanging="426"/>
        <w:jc w:val="both"/>
        <w:rPr>
          <w:rFonts w:ascii="Verdana" w:hAnsi="Verdana"/>
          <w:sz w:val="24"/>
          <w:szCs w:val="24"/>
        </w:rPr>
      </w:pPr>
      <w:r>
        <w:rPr>
          <w:rFonts w:ascii="Verdana" w:hAnsi="Verdana" w:cs="Times New Roman"/>
          <w:sz w:val="24"/>
          <w:szCs w:val="24"/>
        </w:rPr>
        <w:lastRenderedPageBreak/>
        <w:t xml:space="preserve">Scarano, J. (2010). Criança esquecida das Minas Gerais. In M. Del Priore (Org.). </w:t>
      </w:r>
      <w:r>
        <w:rPr>
          <w:rFonts w:ascii="Verdana" w:hAnsi="Verdana" w:cs="Times New Roman"/>
          <w:i/>
          <w:sz w:val="24"/>
          <w:szCs w:val="24"/>
        </w:rPr>
        <w:t>Histórias das Crianças no Brasil</w:t>
      </w:r>
      <w:r>
        <w:rPr>
          <w:rFonts w:ascii="Verdana" w:hAnsi="Verdana" w:cs="Times New Roman"/>
          <w:sz w:val="24"/>
          <w:szCs w:val="24"/>
        </w:rPr>
        <w:t xml:space="preserve"> (7a ed.). Contexto.</w:t>
      </w:r>
    </w:p>
    <w:p w14:paraId="2D1F7B6A" w14:textId="77777777" w:rsidR="007562CB" w:rsidRDefault="00000000">
      <w:pPr>
        <w:spacing w:line="360" w:lineRule="auto"/>
        <w:ind w:left="426" w:right="-1" w:hanging="426"/>
        <w:jc w:val="both"/>
      </w:pPr>
      <w:r>
        <w:rPr>
          <w:rFonts w:ascii="Verdana" w:hAnsi="Verdana" w:cs="Times New Roman"/>
          <w:color w:val="000000" w:themeColor="text1"/>
          <w:sz w:val="24"/>
          <w:szCs w:val="24"/>
        </w:rPr>
        <w:t xml:space="preserve">Slave Voyages. </w:t>
      </w:r>
      <w:r>
        <w:rPr>
          <w:rFonts w:ascii="Verdana" w:hAnsi="Verdana" w:cs="Times New Roman"/>
          <w:color w:val="000000" w:themeColor="text1"/>
          <w:sz w:val="24"/>
          <w:szCs w:val="24"/>
          <w:lang w:val="en-US"/>
        </w:rPr>
        <w:t xml:space="preserve">Explore the origins and forced relocations of enslaved africans across the Atlantic World. </w:t>
      </w:r>
      <w:r>
        <w:rPr>
          <w:rFonts w:ascii="Verdana" w:hAnsi="Verdana" w:cs="Times New Roman"/>
          <w:i/>
          <w:color w:val="000000" w:themeColor="text1"/>
          <w:sz w:val="24"/>
          <w:szCs w:val="24"/>
        </w:rPr>
        <w:t>Slave Voyages</w:t>
      </w:r>
      <w:r>
        <w:rPr>
          <w:rFonts w:ascii="Verdana" w:hAnsi="Verdana" w:cs="Times New Roman"/>
          <w:color w:val="000000" w:themeColor="text1"/>
          <w:sz w:val="24"/>
          <w:szCs w:val="24"/>
        </w:rPr>
        <w:t xml:space="preserve">. </w:t>
      </w:r>
      <w:hyperlink r:id="rId12">
        <w:r w:rsidR="007562CB">
          <w:rPr>
            <w:rFonts w:ascii="Verdana" w:hAnsi="Verdana" w:cs="Times New Roman"/>
            <w:color w:val="000000" w:themeColor="text1"/>
            <w:sz w:val="24"/>
            <w:szCs w:val="24"/>
          </w:rPr>
          <w:t>https://www.slavevoyages.org/</w:t>
        </w:r>
      </w:hyperlink>
    </w:p>
    <w:p w14:paraId="2BCE6A99" w14:textId="77777777" w:rsidR="007562CB" w:rsidRDefault="00000000">
      <w:pPr>
        <w:spacing w:line="360" w:lineRule="auto"/>
        <w:ind w:left="426" w:hanging="426"/>
        <w:jc w:val="both"/>
        <w:rPr>
          <w:rFonts w:ascii="Verdana" w:hAnsi="Verdana"/>
          <w:sz w:val="24"/>
          <w:szCs w:val="24"/>
        </w:rPr>
      </w:pPr>
      <w:r>
        <w:rPr>
          <w:rFonts w:ascii="Verdana" w:hAnsi="Verdana" w:cs="Times New Roman"/>
          <w:color w:val="000000" w:themeColor="text1"/>
          <w:sz w:val="24"/>
          <w:szCs w:val="24"/>
        </w:rPr>
        <w:t xml:space="preserve">Theodoro, M. (2022). </w:t>
      </w:r>
      <w:r>
        <w:rPr>
          <w:rFonts w:ascii="Verdana" w:hAnsi="Verdana" w:cs="Times New Roman"/>
          <w:i/>
          <w:color w:val="000000" w:themeColor="text1"/>
          <w:sz w:val="24"/>
          <w:szCs w:val="24"/>
        </w:rPr>
        <w:t>A sociedade desigual: Racismo e branquitude na formação do Brasil</w:t>
      </w:r>
      <w:r>
        <w:rPr>
          <w:rFonts w:ascii="Verdana" w:hAnsi="Verdana" w:cs="Times New Roman"/>
          <w:color w:val="000000" w:themeColor="text1"/>
          <w:sz w:val="24"/>
          <w:szCs w:val="24"/>
        </w:rPr>
        <w:t>. Zahar.</w:t>
      </w:r>
    </w:p>
    <w:p w14:paraId="28DC484D" w14:textId="77777777" w:rsidR="007562CB" w:rsidRDefault="00000000">
      <w:pPr>
        <w:shd w:val="clear" w:color="auto" w:fill="FFFFFF"/>
        <w:spacing w:line="360" w:lineRule="auto"/>
        <w:ind w:left="426" w:right="-1" w:hanging="426"/>
        <w:jc w:val="both"/>
        <w:rPr>
          <w:rFonts w:ascii="Verdana" w:hAnsi="Verdana"/>
          <w:sz w:val="24"/>
          <w:szCs w:val="24"/>
        </w:rPr>
      </w:pPr>
      <w:r>
        <w:rPr>
          <w:rFonts w:ascii="Verdana" w:hAnsi="Verdana" w:cs="Times New Roman"/>
          <w:color w:val="000000" w:themeColor="text1"/>
          <w:sz w:val="24"/>
          <w:szCs w:val="24"/>
        </w:rPr>
        <w:t>Venâncio, R. P. (1991). Abandono de crianças negras no Rio de Janeiro. In M. Del Priore (Org.). </w:t>
      </w:r>
      <w:r>
        <w:rPr>
          <w:rFonts w:ascii="Verdana" w:hAnsi="Verdana" w:cs="Times New Roman"/>
          <w:i/>
          <w:color w:val="000000" w:themeColor="text1"/>
          <w:sz w:val="24"/>
          <w:szCs w:val="24"/>
        </w:rPr>
        <w:t>História da criança no Brasil</w:t>
      </w:r>
      <w:r>
        <w:rPr>
          <w:rFonts w:ascii="Verdana" w:hAnsi="Verdana" w:cs="Times New Roman"/>
          <w:color w:val="000000" w:themeColor="text1"/>
          <w:sz w:val="24"/>
          <w:szCs w:val="24"/>
        </w:rPr>
        <w:t xml:space="preserve"> (pp. 61-75). Contexto.</w:t>
      </w:r>
    </w:p>
    <w:p w14:paraId="25CE67D9" w14:textId="77777777" w:rsidR="007562CB" w:rsidRDefault="007562CB">
      <w:pPr>
        <w:spacing w:line="360" w:lineRule="auto"/>
        <w:ind w:left="426" w:hanging="426"/>
        <w:rPr>
          <w:rFonts w:ascii="Verdana" w:hAnsi="Verdana" w:cs="Tahoma"/>
          <w:sz w:val="24"/>
          <w:szCs w:val="24"/>
        </w:rPr>
      </w:pPr>
    </w:p>
    <w:p w14:paraId="7A72BA4F" w14:textId="77777777" w:rsidR="007562CB" w:rsidRDefault="007562CB">
      <w:pPr>
        <w:rPr>
          <w:rFonts w:ascii="Verdana" w:hAnsi="Verdana" w:cs="Tahoma"/>
          <w:sz w:val="24"/>
          <w:szCs w:val="24"/>
        </w:rPr>
      </w:pPr>
    </w:p>
    <w:p w14:paraId="1E6257AC" w14:textId="77777777" w:rsidR="007562CB" w:rsidRDefault="00000000">
      <w:pPr>
        <w:rPr>
          <w:rFonts w:ascii="Verdana" w:hAnsi="Verdana" w:cs="Tahoma"/>
          <w:sz w:val="24"/>
          <w:szCs w:val="24"/>
        </w:rPr>
      </w:pPr>
      <w:r>
        <w:br w:type="page"/>
      </w:r>
    </w:p>
    <w:p w14:paraId="3DCA1569" w14:textId="77777777" w:rsidR="007562CB" w:rsidRDefault="00000000">
      <w:pPr>
        <w:spacing w:after="0" w:line="360" w:lineRule="auto"/>
        <w:rPr>
          <w:rFonts w:ascii="Verdana" w:hAnsi="Verdana" w:cs="Tahoma"/>
          <w:sz w:val="24"/>
          <w:szCs w:val="24"/>
          <w:lang w:val="pt-BR"/>
        </w:rPr>
      </w:pPr>
      <w:r>
        <w:rPr>
          <w:rFonts w:ascii="Verdana" w:hAnsi="Verdana" w:cs="Tahoma"/>
          <w:sz w:val="24"/>
          <w:szCs w:val="24"/>
        </w:rPr>
        <w:lastRenderedPageBreak/>
        <w:tab/>
      </w:r>
    </w:p>
    <w:p w14:paraId="0CA43244" w14:textId="77777777" w:rsidR="007562CB" w:rsidRDefault="007562CB">
      <w:pPr>
        <w:spacing w:after="0" w:line="360" w:lineRule="auto"/>
        <w:rPr>
          <w:rFonts w:ascii="Verdana" w:hAnsi="Verdana" w:cs="Tahoma"/>
          <w:sz w:val="24"/>
          <w:szCs w:val="24"/>
          <w:lang w:val="pt-BR"/>
        </w:rPr>
      </w:pPr>
    </w:p>
    <w:p w14:paraId="12291B5F" w14:textId="77777777" w:rsidR="007562CB" w:rsidRDefault="007562CB">
      <w:pPr>
        <w:spacing w:after="0" w:line="360" w:lineRule="auto"/>
        <w:rPr>
          <w:rFonts w:ascii="Verdana" w:hAnsi="Verdana" w:cs="Tahoma"/>
          <w:i/>
          <w:iCs/>
          <w:sz w:val="24"/>
          <w:szCs w:val="24"/>
        </w:rPr>
      </w:pPr>
    </w:p>
    <w:p w14:paraId="4E0BB59F" w14:textId="77777777" w:rsidR="007562CB" w:rsidRDefault="007562CB">
      <w:pPr>
        <w:spacing w:after="0" w:line="360" w:lineRule="auto"/>
        <w:ind w:firstLine="720"/>
        <w:rPr>
          <w:rFonts w:ascii="Verdana" w:hAnsi="Verdana" w:cs="Tahoma"/>
          <w:sz w:val="24"/>
          <w:szCs w:val="24"/>
        </w:rPr>
      </w:pPr>
    </w:p>
    <w:p w14:paraId="324371C0" w14:textId="77777777" w:rsidR="007562CB" w:rsidRDefault="007562CB">
      <w:pPr>
        <w:spacing w:after="0" w:line="360" w:lineRule="auto"/>
        <w:rPr>
          <w:rFonts w:ascii="Verdana" w:hAnsi="Verdana" w:cs="Tahoma"/>
          <w:sz w:val="24"/>
          <w:szCs w:val="24"/>
        </w:rPr>
      </w:pPr>
    </w:p>
    <w:p w14:paraId="606F962F" w14:textId="77777777" w:rsidR="007562CB" w:rsidRDefault="007562CB">
      <w:pPr>
        <w:spacing w:after="0" w:line="360" w:lineRule="auto"/>
      </w:pPr>
    </w:p>
    <w:sectPr w:rsidR="007562CB">
      <w:pgSz w:w="11906" w:h="16838"/>
      <w:pgMar w:top="1440" w:right="1440" w:bottom="1440" w:left="1440" w:header="0"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5112FA" w14:textId="77777777" w:rsidR="00315033" w:rsidRDefault="00315033">
      <w:pPr>
        <w:spacing w:after="0" w:line="240" w:lineRule="auto"/>
      </w:pPr>
      <w:r>
        <w:separator/>
      </w:r>
    </w:p>
  </w:endnote>
  <w:endnote w:type="continuationSeparator" w:id="0">
    <w:p w14:paraId="50527629" w14:textId="77777777" w:rsidR="00315033" w:rsidRDefault="003150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swiss"/>
    <w:pitch w:val="variable"/>
  </w:font>
  <w:font w:name="Microsoft YaHei">
    <w:panose1 w:val="020B0503020204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822365" w14:textId="77777777" w:rsidR="00315033" w:rsidRDefault="00315033">
      <w:r>
        <w:separator/>
      </w:r>
    </w:p>
  </w:footnote>
  <w:footnote w:type="continuationSeparator" w:id="0">
    <w:p w14:paraId="71CAFD3D" w14:textId="77777777" w:rsidR="00315033" w:rsidRDefault="00315033">
      <w:r>
        <w:continuationSeparator/>
      </w:r>
    </w:p>
  </w:footnote>
  <w:footnote w:id="1">
    <w:p w14:paraId="2A90F77C" w14:textId="77777777" w:rsidR="007562CB" w:rsidRDefault="00000000">
      <w:pPr>
        <w:pStyle w:val="FootnoteText"/>
        <w:jc w:val="both"/>
      </w:pPr>
      <w:r>
        <w:rPr>
          <w:rStyle w:val="Caracteresdenotaderodap"/>
        </w:rPr>
        <w:footnoteRef/>
      </w:r>
      <w:r>
        <w:rPr>
          <w:rFonts w:ascii="Times New Roman" w:hAnsi="Times New Roman" w:cs="Times New Roman"/>
          <w:lang w:val="en-US"/>
        </w:rPr>
        <w:t xml:space="preserve"> </w:t>
      </w:r>
      <w:r>
        <w:rPr>
          <w:rFonts w:ascii="Times New Roman" w:hAnsi="Times New Roman" w:cs="Times New Roman"/>
          <w:color w:val="000000" w:themeColor="text1"/>
          <w:lang w:val="en-US"/>
        </w:rPr>
        <w:t>One cannot think about the slavery company without relating it to the emergence of capitalism. The objective of this article, however, is to think about the production of the enslaved condition within the scope of ontology. Hence the centrality that the bodies of enslaved black women occupy in this analysis, since the status of free or enslaved was an attribute that explicitly belonged to women. There is a long bibliography dedicated exclusively to analyzing slavery in Brazil from a Marxist perspective, including Gorender (1980, 1991) and Costa (1982, 2008). Marxist analyzes point out that the systematic refusal to abolish slavery was motivated by the economic dimension. This interpretative line cannot be ignored, however, it is incomplete when one does not consider that the white elite's project for a nation does not include black people. The civilization model was inspired by the “civilized” European, that is, white and Christian.</w:t>
      </w:r>
    </w:p>
  </w:footnote>
  <w:footnote w:id="2">
    <w:p w14:paraId="167318E1" w14:textId="77777777" w:rsidR="007562CB" w:rsidRDefault="00000000">
      <w:pPr>
        <w:jc w:val="both"/>
      </w:pPr>
      <w:r>
        <w:rPr>
          <w:rStyle w:val="Caracteresdenotaderodap"/>
        </w:rPr>
        <w:footnoteRef/>
      </w:r>
      <w:r>
        <w:rPr>
          <w:rFonts w:ascii="Times New Roman" w:hAnsi="Times New Roman" w:cs="Times New Roman"/>
          <w:sz w:val="20"/>
          <w:lang w:val="en-US"/>
        </w:rPr>
        <w:t xml:space="preserve"> Abjection (from Latin, ab-jectio) means to throw away, to exclude what cannot be coexisted with, under the penalty of being considered contaminated. Judith Butler will help us understand how this process of exclusion will be carried out not as an expression of individual taste or, ultimately, familial. For Butler, in an approximation with the psychoanalytic concept of foreclosure (approximation and not total adherence), the subject and their sociability are realized through the rejection of a primary signifier that produces the unconscious. The notion of abjection, on the contrary, designates a degraded or excluded condition within the terms of sociability. In reality, the foreclosed (or rejected) is precisely what cannot return to enter the field of the social without provoking the threat of psychosis, that is, the dissolution of the subject itself.</w:t>
      </w:r>
    </w:p>
  </w:footnote>
  <w:footnote w:id="3">
    <w:p w14:paraId="588E387E" w14:textId="77777777" w:rsidR="007562CB" w:rsidRDefault="00000000">
      <w:pPr>
        <w:pStyle w:val="FootnoteText"/>
        <w:jc w:val="both"/>
      </w:pPr>
      <w:r>
        <w:rPr>
          <w:rStyle w:val="Caracteresdenotaderodap"/>
        </w:rPr>
        <w:footnoteRef/>
      </w:r>
      <w:r>
        <w:rPr>
          <w:rFonts w:ascii="Times New Roman" w:hAnsi="Times New Roman" w:cs="Times New Roman"/>
          <w:lang w:val="en-US"/>
        </w:rPr>
        <w:t xml:space="preserve"> Jacob Gorender highlighted how the Order of Saint Benedict maintained "a breeding center centralized in a rural establishment on Ilha do Governador, from where native blacks, cared for until a certain age, would depart to work on the Order's properties in the interior of the country" (1980, p. 345). Other religious orders not only adopted the “breeding” enterprise but also sophisticated it, as exemplified by the Jesuits, who had on their farms and mills “a numerous slavery, where it was rare to find a black from the Coast of Africa” (Lisboa apud Gorender, 1980, p. 344).</w:t>
      </w:r>
    </w:p>
  </w:footnote>
  <w:footnote w:id="4">
    <w:p w14:paraId="631A21EC" w14:textId="77777777" w:rsidR="007562CB" w:rsidRDefault="00000000">
      <w:pPr>
        <w:pStyle w:val="FootnoteText"/>
        <w:jc w:val="both"/>
      </w:pPr>
      <w:r>
        <w:rPr>
          <w:rStyle w:val="Caracteresdenotaderodap"/>
        </w:rPr>
        <w:footnoteRef/>
      </w:r>
      <w:r>
        <w:rPr>
          <w:rFonts w:ascii="Times New Roman" w:hAnsi="Times New Roman" w:cs="Times New Roman"/>
          <w:lang w:val="en-US"/>
        </w:rPr>
        <w:t xml:space="preserve"> Even with the end of slavery, there remained a considerable “distance between black children [...] with paternal and maternal interaction” (Scarano, 2010, p. 61). Because their parents' constant search for ways of survival ended up perpetuating, compulsorily, the family's distance in terms of protection and care for their children. This happened because the black population was redirected from the poverty and misery of slavery to the poverty and misery of free labor, meaning they were transferred to the competitiveness of free labor without social, economic, political, or even philanthropic support that would at least attempt to break away from the historical problems stemming from slavery.</w:t>
      </w:r>
    </w:p>
  </w:footnote>
  <w:footnote w:id="5">
    <w:p w14:paraId="7C944701" w14:textId="77777777" w:rsidR="007562CB" w:rsidRDefault="00000000">
      <w:pPr>
        <w:pStyle w:val="FootnoteText"/>
        <w:jc w:val="both"/>
      </w:pPr>
      <w:r>
        <w:rPr>
          <w:rStyle w:val="Caracteresdenotaderodap"/>
        </w:rPr>
        <w:footnoteRef/>
      </w:r>
      <w:r>
        <w:rPr>
          <w:rFonts w:ascii="Times New Roman" w:hAnsi="Times New Roman" w:cs="Times New Roman"/>
          <w:lang w:val="en-US"/>
        </w:rPr>
        <w:t xml:space="preserve"> With the exception of Franz Fanon's reflections, which precede those of Foucault, all the theorists mentioned here have the concept of “biopower/sovereign power” as a “site” for problematizing the management of life/death by Modern States.</w:t>
      </w:r>
    </w:p>
  </w:footnote>
  <w:footnote w:id="6">
    <w:p w14:paraId="5F74DD42" w14:textId="77777777" w:rsidR="007562CB" w:rsidRDefault="00000000">
      <w:pPr>
        <w:pStyle w:val="FootnoteText"/>
        <w:jc w:val="both"/>
      </w:pPr>
      <w:r>
        <w:rPr>
          <w:rStyle w:val="Caracteresdenotaderodap"/>
        </w:rPr>
        <w:footnoteRef/>
      </w:r>
      <w:r>
        <w:rPr>
          <w:rFonts w:ascii="Times New Roman" w:hAnsi="Times New Roman" w:cs="Times New Roman"/>
          <w:lang w:val="en-US"/>
        </w:rPr>
        <w:t xml:space="preserve"> For an analysis of the continuity of contemporary necropolitics, I suggest Mário Theodoro’s work (2022). He points out how fear of State terror leads peripheral Black populations to adopt strategies to avoid being executed: “Wearing school uniforms is one of the tactics mobilized by Black families to protect their children, as well as always carrying documents and, if possible, a work permit for those over fourteen. But this strategy did not work for the teenager Marcos Vinícius da Silva from the Maré favela in Rio de Janeiro. In June 2018, at fourteen years old, he was shot by the police, as has happened and continues to happen to numerous other young Black people” (2022, p. 350).</w:t>
      </w:r>
    </w:p>
  </w:footnote>
  <w:footnote w:id="7">
    <w:p w14:paraId="21591C66" w14:textId="77777777" w:rsidR="007562CB" w:rsidRDefault="00000000">
      <w:pPr>
        <w:pStyle w:val="FootnoteText"/>
        <w:jc w:val="both"/>
      </w:pPr>
      <w:r>
        <w:rPr>
          <w:rStyle w:val="Caracteresdenotaderodap"/>
        </w:rPr>
        <w:footnoteRef/>
      </w:r>
      <w:r>
        <w:rPr>
          <w:rFonts w:ascii="Times New Roman" w:hAnsi="Times New Roman" w:cs="Times New Roman"/>
          <w:lang w:val="en-US"/>
        </w:rPr>
        <w:t xml:space="preserve"> It is possible access data on the trafficking of individuals from West Africa to the Americas at https://www.slavevoyages.org/. It is estimated that between the 15th and 19th centuries, there were 35,000 voyages, totaling 12 million people abducted from Africa.</w:t>
      </w:r>
    </w:p>
  </w:footnote>
  <w:footnote w:id="8">
    <w:p w14:paraId="72A32C59" w14:textId="77777777" w:rsidR="007562CB" w:rsidRDefault="00000000">
      <w:pPr>
        <w:pStyle w:val="FootnoteText"/>
        <w:jc w:val="both"/>
      </w:pPr>
      <w:r>
        <w:rPr>
          <w:rStyle w:val="Caracteresdenotaderodap"/>
        </w:rPr>
        <w:footnoteRef/>
      </w:r>
      <w:r>
        <w:rPr>
          <w:rFonts w:ascii="Times New Roman" w:hAnsi="Times New Roman" w:cs="Times New Roman"/>
          <w:lang w:val="en-US"/>
        </w:rPr>
        <w:t xml:space="preserve"> For information on the Foundlings' Wheel and the increased delivery of newborn babies after the promulgation of the Law, refer to: Lana and Venâncio (1988), Venâncio (1991), Marcílio and Venâncio (1990), Marcílio (1993, 1995, 1996, 1997), Moraes (2000), Eufrázio (2022), Faleiros (1995), Jovino (2010), Santos (2000).</w:t>
      </w:r>
    </w:p>
  </w:footnote>
  <w:footnote w:id="9">
    <w:p w14:paraId="78E9547B" w14:textId="77777777" w:rsidR="007562CB" w:rsidRDefault="00000000">
      <w:pPr>
        <w:pStyle w:val="FootnoteText"/>
        <w:jc w:val="both"/>
      </w:pPr>
      <w:r>
        <w:rPr>
          <w:rStyle w:val="Caracteresdenotaderodap"/>
        </w:rPr>
        <w:footnoteRef/>
      </w:r>
      <w:r>
        <w:rPr>
          <w:rFonts w:ascii="Times New Roman" w:hAnsi="Times New Roman" w:cs="Times New Roman"/>
          <w:lang w:val="en-US"/>
        </w:rPr>
        <w:t xml:space="preserve"> According to data obtained from the Minister of Agriculture's Report of 1885, “out of the total of 400,000 ingênuos – as the free children of enslaved mothers were called – registered up to that moment, only 118 were handed over to the State in exchange for compensation of 600$000, a number that did not correspond to 0.5% of the total number of free-born children of enslaved mothers in the entire country” (Conrad, 1978, p. 144).</w:t>
      </w:r>
    </w:p>
  </w:footnote>
  <w:footnote w:id="10">
    <w:p w14:paraId="2A5AE028" w14:textId="77777777" w:rsidR="007562CB" w:rsidRDefault="00000000">
      <w:pPr>
        <w:pStyle w:val="FootnoteText"/>
        <w:jc w:val="both"/>
      </w:pPr>
      <w:r>
        <w:rPr>
          <w:rStyle w:val="Caracteresdenotaderodap"/>
        </w:rPr>
        <w:footnoteRef/>
      </w:r>
      <w:r>
        <w:rPr>
          <w:rFonts w:ascii="Times New Roman" w:hAnsi="Times New Roman" w:cs="Times New Roman"/>
          <w:lang w:val="en-US"/>
        </w:rPr>
        <w:t xml:space="preserve"> In Bahia, as research conducted by Russell-Wood (2021, 1981) at the Santa Casa da Misericórdia de Salvador, between the period of 1757 to 1758, shows a higher percentage of white children being left at the Wheel compared to children of color: 73% were white.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2CB"/>
    <w:rsid w:val="00315033"/>
    <w:rsid w:val="007562CB"/>
    <w:rsid w:val="00A85490"/>
    <w:rsid w:val="00AB0FA6"/>
    <w:rsid w:val="00AF34DB"/>
    <w:rsid w:val="00B048E0"/>
    <w:rsid w:val="00B415C6"/>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428E693C"/>
  <w15:docId w15:val="{F500E6AE-8144-7A41-98BC-2D4E786EB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74DF"/>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TextChar">
    <w:name w:val="Footnote Text Char"/>
    <w:basedOn w:val="DefaultParagraphFont"/>
    <w:link w:val="FootnoteText"/>
    <w:uiPriority w:val="99"/>
    <w:semiHidden/>
    <w:qFormat/>
    <w:rsid w:val="004E1122"/>
    <w:rPr>
      <w:sz w:val="20"/>
      <w:szCs w:val="20"/>
    </w:rPr>
  </w:style>
  <w:style w:type="character" w:customStyle="1" w:styleId="ncoradanotaderodap">
    <w:name w:val="Âncora da nota de rodapé"/>
    <w:rPr>
      <w:vertAlign w:val="superscript"/>
    </w:rPr>
  </w:style>
  <w:style w:type="character" w:customStyle="1" w:styleId="FootnoteCharacters">
    <w:name w:val="Footnote Characters"/>
    <w:basedOn w:val="DefaultParagraphFont"/>
    <w:uiPriority w:val="99"/>
    <w:semiHidden/>
    <w:unhideWhenUsed/>
    <w:qFormat/>
    <w:rsid w:val="004E1122"/>
    <w:rPr>
      <w:vertAlign w:val="superscript"/>
    </w:rPr>
  </w:style>
  <w:style w:type="character" w:customStyle="1" w:styleId="Caracteresdenotaderodap">
    <w:name w:val="Caracteres de nota de rodapé"/>
    <w:qFormat/>
  </w:style>
  <w:style w:type="character" w:customStyle="1" w:styleId="ncoradanotadefim">
    <w:name w:val="Âncora da nota de fim"/>
    <w:rPr>
      <w:vertAlign w:val="superscript"/>
    </w:rPr>
  </w:style>
  <w:style w:type="character" w:customStyle="1" w:styleId="Caracteresdenotadefim">
    <w:name w:val="Caracteres de nota de fim"/>
    <w:qFormat/>
  </w:style>
  <w:style w:type="character" w:customStyle="1" w:styleId="LinkdaInternet">
    <w:name w:val="Link da Internet"/>
    <w:basedOn w:val="DefaultParagraphFont"/>
    <w:rPr>
      <w:color w:val="0563C1" w:themeColor="hyperlink"/>
      <w:u w:val="single"/>
    </w:rPr>
  </w:style>
  <w:style w:type="paragraph" w:customStyle="1" w:styleId="Ttulo">
    <w:name w:val="Título"/>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ndice">
    <w:name w:val="Índice"/>
    <w:basedOn w:val="Normal"/>
    <w:qFormat/>
    <w:pPr>
      <w:suppressLineNumbers/>
    </w:pPr>
    <w:rPr>
      <w:rFonts w:cs="Arial"/>
    </w:rPr>
  </w:style>
  <w:style w:type="paragraph" w:styleId="ListParagraph">
    <w:name w:val="List Paragraph"/>
    <w:basedOn w:val="Normal"/>
    <w:uiPriority w:val="34"/>
    <w:qFormat/>
    <w:rsid w:val="00DF74DF"/>
    <w:pPr>
      <w:ind w:left="720"/>
      <w:contextualSpacing/>
    </w:pPr>
  </w:style>
  <w:style w:type="paragraph" w:styleId="FootnoteText">
    <w:name w:val="footnote text"/>
    <w:basedOn w:val="Normal"/>
    <w:link w:val="FootnoteTextChar"/>
    <w:uiPriority w:val="99"/>
    <w:semiHidden/>
    <w:unhideWhenUsed/>
    <w:rsid w:val="004E1122"/>
    <w:pPr>
      <w:spacing w:after="0" w:line="240" w:lineRule="auto"/>
    </w:pPr>
    <w:rPr>
      <w:sz w:val="20"/>
      <w:szCs w:val="20"/>
    </w:rPr>
  </w:style>
  <w:style w:type="paragraph" w:customStyle="1" w:styleId="P68B1DB1-Normal2">
    <w:name w:val="P68B1DB1-Normal2"/>
    <w:basedOn w:val="Normal"/>
    <w:qFormat/>
    <w:rPr>
      <w:rFonts w:ascii="Times New Roman" w:eastAsia="Times New Roman" w:hAnsi="Times New Roman" w:cs="Times New Roman"/>
      <w:color w:val="000000"/>
    </w:rPr>
  </w:style>
  <w:style w:type="paragraph" w:customStyle="1" w:styleId="P68B1DB1-Normal3">
    <w:name w:val="P68B1DB1-Normal3"/>
    <w:basedOn w:val="Normal"/>
    <w:qFormat/>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lavevoyages.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enado.leg.br/publicacoes/anais/pdf/Anais_Imperio/1871/1871%20Livro%205.pdf" TargetMode="External"/><Relationship Id="rId5" Type="http://schemas.openxmlformats.org/officeDocument/2006/relationships/styles" Target="styles.xml"/><Relationship Id="rId10" Type="http://schemas.openxmlformats.org/officeDocument/2006/relationships/hyperlink" Target="https://bd.camara.leg.br/bd/handle/bdcamara/30362"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3D3218030E9FF54C994E84F165A95BF3" ma:contentTypeVersion="15" ma:contentTypeDescription="Create a new document." ma:contentTypeScope="" ma:versionID="8c05f6e76bcca529834a0e4976f2c081">
  <xsd:schema xmlns:xsd="http://www.w3.org/2001/XMLSchema" xmlns:xs="http://www.w3.org/2001/XMLSchema" xmlns:p="http://schemas.microsoft.com/office/2006/metadata/properties" xmlns:ns3="97ddcffb-fe94-44f9-9326-31773fddec06" xmlns:ns4="790b13b0-4c33-4251-aeea-ca878943adcd" targetNamespace="http://schemas.microsoft.com/office/2006/metadata/properties" ma:root="true" ma:fieldsID="11870f409df60f3493339c608caa6bcf" ns3:_="" ns4:_="">
    <xsd:import namespace="97ddcffb-fe94-44f9-9326-31773fddec06"/>
    <xsd:import namespace="790b13b0-4c33-4251-aeea-ca878943adcd"/>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SearchProperties" minOccurs="0"/>
                <xsd:element ref="ns3:MediaServiceDateTaken" minOccurs="0"/>
                <xsd:element ref="ns3:MediaServiceSystemTag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ddcffb-fe94-44f9-9326-31773fddec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90b13b0-4c33-4251-aeea-ca878943adc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97ddcffb-fe94-44f9-9326-31773fddec06" xsi:nil="true"/>
  </documentManagement>
</p:properties>
</file>

<file path=customXml/itemProps1.xml><?xml version="1.0" encoding="utf-8"?>
<ds:datastoreItem xmlns:ds="http://schemas.openxmlformats.org/officeDocument/2006/customXml" ds:itemID="{7726A97E-F4DF-47B8-ADF0-2CBCB8351182}">
  <ds:schemaRefs>
    <ds:schemaRef ds:uri="http://schemas.openxmlformats.org/officeDocument/2006/bibliography"/>
  </ds:schemaRefs>
</ds:datastoreItem>
</file>

<file path=customXml/itemProps2.xml><?xml version="1.0" encoding="utf-8"?>
<ds:datastoreItem xmlns:ds="http://schemas.openxmlformats.org/officeDocument/2006/customXml" ds:itemID="{476FFEBA-65E8-46C5-ABF3-17AE9A2982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ddcffb-fe94-44f9-9326-31773fddec06"/>
    <ds:schemaRef ds:uri="790b13b0-4c33-4251-aeea-ca878943ad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2F3BE7-BB99-4E8A-A106-61BAFB93F543}">
  <ds:schemaRefs>
    <ds:schemaRef ds:uri="http://schemas.microsoft.com/sharepoint/v3/contenttype/forms"/>
  </ds:schemaRefs>
</ds:datastoreItem>
</file>

<file path=customXml/itemProps4.xml><?xml version="1.0" encoding="utf-8"?>
<ds:datastoreItem xmlns:ds="http://schemas.openxmlformats.org/officeDocument/2006/customXml" ds:itemID="{183E8AEE-2A6B-4DBB-9E84-20BCCE7B245D}">
  <ds:schemaRefs>
    <ds:schemaRef ds:uri="http://schemas.microsoft.com/office/2006/metadata/properties"/>
    <ds:schemaRef ds:uri="http://schemas.microsoft.com/office/infopath/2007/PartnerControls"/>
    <ds:schemaRef ds:uri="97ddcffb-fe94-44f9-9326-31773fddec06"/>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5672</Words>
  <Characters>32337</Characters>
  <Application>Microsoft Office Word</Application>
  <DocSecurity>0</DocSecurity>
  <Lines>269</Lines>
  <Paragraphs>75</Paragraphs>
  <ScaleCrop>false</ScaleCrop>
  <Company/>
  <LinksUpToDate>false</LinksUpToDate>
  <CharactersWithSpaces>37934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Cassal, Luan</dc:creator>
  <dc:description/>
  <cp:lastModifiedBy>Ian Parker</cp:lastModifiedBy>
  <cp:revision>2</cp:revision>
  <dcterms:created xsi:type="dcterms:W3CDTF">2025-04-11T11:17:00Z</dcterms:created>
  <dcterms:modified xsi:type="dcterms:W3CDTF">2025-04-11T11:17:00Z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0x0101003D3218030E9FF54C994E84F165A95BF3</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