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66C0A9" w14:textId="3BFF8947" w:rsidR="00AE708F" w:rsidRPr="009150F0" w:rsidRDefault="00AE708F" w:rsidP="009150F0">
      <w:pPr>
        <w:spacing w:after="0" w:line="360" w:lineRule="auto"/>
        <w:jc w:val="center"/>
        <w:rPr>
          <w:rFonts w:ascii="Verdana" w:hAnsi="Verdana"/>
          <w:b/>
          <w:bCs/>
          <w:lang w:val="en-US"/>
        </w:rPr>
      </w:pPr>
      <w:r w:rsidRPr="00714C49">
        <w:rPr>
          <w:rFonts w:ascii="Verdana" w:hAnsi="Verdana"/>
          <w:b/>
          <w:bCs/>
          <w:lang w:val="en-US"/>
        </w:rPr>
        <w:t xml:space="preserve">Book Review: Burman, E. (2022). </w:t>
      </w:r>
      <w:r w:rsidRPr="00714C49">
        <w:rPr>
          <w:rFonts w:ascii="Verdana" w:hAnsi="Verdana"/>
          <w:b/>
          <w:bCs/>
          <w:i/>
          <w:iCs/>
          <w:lang w:val="en-US"/>
        </w:rPr>
        <w:t xml:space="preserve">Fanon y educación. </w:t>
      </w:r>
      <w:r w:rsidRPr="009150F0">
        <w:rPr>
          <w:rFonts w:ascii="Verdana" w:hAnsi="Verdana"/>
          <w:b/>
          <w:bCs/>
          <w:i/>
          <w:iCs/>
        </w:rPr>
        <w:t>El "niño como método"</w:t>
      </w:r>
      <w:r w:rsidRPr="009150F0">
        <w:rPr>
          <w:rFonts w:ascii="Verdana" w:hAnsi="Verdana"/>
          <w:b/>
          <w:bCs/>
        </w:rPr>
        <w:t xml:space="preserve"> (Roc Filella, trans.). </w:t>
      </w:r>
      <w:r w:rsidRPr="009150F0">
        <w:rPr>
          <w:rFonts w:ascii="Verdana" w:hAnsi="Verdana"/>
          <w:b/>
          <w:bCs/>
          <w:lang w:val="en-US"/>
        </w:rPr>
        <w:t>Ediciones Morata (original work published 2018). ISBN (paper): 978-84-18381-82-9; ISBN (ebook): 978-84-18381-83-6, 278 pp.</w:t>
      </w:r>
    </w:p>
    <w:p w14:paraId="665A5325" w14:textId="3CFDEBFF" w:rsidR="00AE708F" w:rsidRPr="009150F0" w:rsidRDefault="00AE708F" w:rsidP="009150F0">
      <w:pPr>
        <w:spacing w:after="0" w:line="360" w:lineRule="auto"/>
        <w:jc w:val="center"/>
        <w:rPr>
          <w:rFonts w:ascii="Verdana" w:hAnsi="Verdana"/>
          <w:lang w:val="en-US"/>
        </w:rPr>
      </w:pPr>
      <w:r w:rsidRPr="009150F0">
        <w:rPr>
          <w:rFonts w:ascii="Verdana" w:hAnsi="Verdana"/>
          <w:lang w:val="en-US"/>
        </w:rPr>
        <w:t xml:space="preserve">Angel Gordo, Universidad Complutense /TRANSOC, </w:t>
      </w:r>
      <w:hyperlink r:id="rId7" w:history="1">
        <w:r w:rsidRPr="009150F0">
          <w:rPr>
            <w:rStyle w:val="Hyperlink"/>
            <w:rFonts w:ascii="Verdana" w:hAnsi="Verdana"/>
            <w:lang w:val="en-US"/>
          </w:rPr>
          <w:t>ajgordol@ucm.es</w:t>
        </w:r>
      </w:hyperlink>
    </w:p>
    <w:p w14:paraId="523CECB7" w14:textId="77777777" w:rsidR="00AE708F" w:rsidRPr="009150F0" w:rsidRDefault="00AE708F" w:rsidP="009150F0">
      <w:pPr>
        <w:spacing w:after="0" w:line="360" w:lineRule="auto"/>
        <w:rPr>
          <w:rFonts w:ascii="Verdana" w:hAnsi="Verdana"/>
          <w:lang w:val="en-US"/>
        </w:rPr>
      </w:pPr>
    </w:p>
    <w:p w14:paraId="18DCE782" w14:textId="77777777" w:rsidR="00965ECA" w:rsidRPr="00965ECA" w:rsidRDefault="00965ECA" w:rsidP="00965ECA">
      <w:pPr>
        <w:spacing w:after="0" w:line="360" w:lineRule="auto"/>
        <w:rPr>
          <w:rFonts w:ascii="Verdana" w:hAnsi="Verdana"/>
          <w:b/>
          <w:bCs/>
          <w:lang w:val="en-US"/>
        </w:rPr>
      </w:pPr>
      <w:r w:rsidRPr="00965ECA">
        <w:rPr>
          <w:rFonts w:ascii="Verdana" w:hAnsi="Verdana"/>
          <w:b/>
          <w:bCs/>
          <w:lang w:val="en-US"/>
        </w:rPr>
        <w:t>Developmental Correspondences and Critiques</w:t>
      </w:r>
    </w:p>
    <w:p w14:paraId="351E383B" w14:textId="48D8C3C7" w:rsidR="00965ECA" w:rsidRPr="00965ECA" w:rsidRDefault="00965ECA" w:rsidP="00965ECA">
      <w:pPr>
        <w:spacing w:after="0" w:line="360" w:lineRule="auto"/>
        <w:rPr>
          <w:rFonts w:ascii="Verdana" w:hAnsi="Verdana"/>
          <w:lang w:val="en-US"/>
        </w:rPr>
      </w:pPr>
      <w:r w:rsidRPr="00965ECA">
        <w:rPr>
          <w:rFonts w:ascii="Verdana" w:hAnsi="Verdana"/>
          <w:lang w:val="en-US"/>
        </w:rPr>
        <w:t xml:space="preserve">For more than two decades, beginning with the publication of </w:t>
      </w:r>
      <w:r w:rsidRPr="00965ECA">
        <w:rPr>
          <w:rFonts w:ascii="Verdana" w:hAnsi="Verdana"/>
          <w:i/>
          <w:iCs/>
          <w:lang w:val="en-US"/>
        </w:rPr>
        <w:t>Deconstructing Developmental Psychology</w:t>
      </w:r>
      <w:r w:rsidRPr="00965ECA">
        <w:rPr>
          <w:rFonts w:ascii="Verdana" w:hAnsi="Verdana"/>
          <w:lang w:val="en-US"/>
        </w:rPr>
        <w:t xml:space="preserve"> (1994)—translated into Spanish as </w:t>
      </w:r>
      <w:r>
        <w:rPr>
          <w:rFonts w:ascii="Verdana" w:hAnsi="Verdana"/>
          <w:i/>
          <w:iCs/>
          <w:lang w:val="en-US"/>
        </w:rPr>
        <w:t xml:space="preserve">La Deconstrucción de </w:t>
      </w:r>
      <w:r w:rsidRPr="00965ECA">
        <w:rPr>
          <w:rFonts w:ascii="Verdana" w:hAnsi="Verdana"/>
          <w:i/>
          <w:iCs/>
          <w:lang w:val="en-US"/>
        </w:rPr>
        <w:t>la Psicología Evolutiva</w:t>
      </w:r>
      <w:r w:rsidRPr="00965ECA">
        <w:rPr>
          <w:rFonts w:ascii="Verdana" w:hAnsi="Verdana"/>
          <w:lang w:val="en-US"/>
        </w:rPr>
        <w:t xml:space="preserve"> (Visor, 1998)—Erica Burman has critically examined the ways in which notions of individual development are intertwined with broader economic and political agendas. Her work has consistently exposed the ideologies underpinning these connections, scrutinizing their implications.</w:t>
      </w:r>
      <w:r>
        <w:rPr>
          <w:rFonts w:ascii="Verdana" w:hAnsi="Verdana"/>
          <w:lang w:val="en-US"/>
        </w:rPr>
        <w:t xml:space="preserve"> </w:t>
      </w:r>
      <w:r w:rsidRPr="00965ECA">
        <w:rPr>
          <w:rFonts w:ascii="Verdana" w:hAnsi="Verdana"/>
          <w:lang w:val="en-US"/>
        </w:rPr>
        <w:t xml:space="preserve">In </w:t>
      </w:r>
      <w:r w:rsidRPr="00965ECA">
        <w:rPr>
          <w:rFonts w:ascii="Verdana" w:hAnsi="Verdana"/>
          <w:i/>
          <w:iCs/>
          <w:lang w:val="en-US"/>
        </w:rPr>
        <w:t>Fanon y Educación: El “niño como método</w:t>
      </w:r>
      <w:r w:rsidRPr="00965ECA">
        <w:rPr>
          <w:rFonts w:ascii="Verdana" w:hAnsi="Verdana"/>
          <w:lang w:val="en-US"/>
        </w:rPr>
        <w:t xml:space="preserve"> </w:t>
      </w:r>
      <w:r>
        <w:rPr>
          <w:rFonts w:ascii="Verdana" w:hAnsi="Verdana"/>
          <w:lang w:val="en-US"/>
        </w:rPr>
        <w:t>--</w:t>
      </w:r>
      <w:r w:rsidRPr="00965ECA">
        <w:rPr>
          <w:rFonts w:ascii="Verdana" w:hAnsi="Verdana"/>
          <w:lang w:val="en-US"/>
        </w:rPr>
        <w:t xml:space="preserve">the Spanish edition of </w:t>
      </w:r>
      <w:r w:rsidRPr="00965ECA">
        <w:rPr>
          <w:rFonts w:ascii="Verdana" w:hAnsi="Verdana"/>
          <w:i/>
          <w:iCs/>
          <w:lang w:val="en-US"/>
        </w:rPr>
        <w:t>Fanon, Education, Action: Child as Method</w:t>
      </w:r>
      <w:r w:rsidRPr="00965ECA">
        <w:rPr>
          <w:rFonts w:ascii="Verdana" w:hAnsi="Verdana"/>
          <w:lang w:val="en-US"/>
        </w:rPr>
        <w:t xml:space="preserve"> (</w:t>
      </w:r>
      <w:r>
        <w:rPr>
          <w:rFonts w:ascii="Verdana" w:hAnsi="Verdana"/>
          <w:lang w:val="en-US"/>
        </w:rPr>
        <w:t xml:space="preserve">Burman, </w:t>
      </w:r>
      <w:r w:rsidRPr="00965ECA">
        <w:rPr>
          <w:rFonts w:ascii="Verdana" w:hAnsi="Verdana"/>
          <w:lang w:val="en-US"/>
        </w:rPr>
        <w:t>2018)</w:t>
      </w:r>
      <w:r>
        <w:rPr>
          <w:rFonts w:ascii="Verdana" w:hAnsi="Verdana"/>
          <w:lang w:val="en-US"/>
        </w:rPr>
        <w:t>--</w:t>
      </w:r>
      <w:r w:rsidRPr="00965ECA">
        <w:rPr>
          <w:rFonts w:ascii="Verdana" w:hAnsi="Verdana"/>
          <w:lang w:val="en-US"/>
        </w:rPr>
        <w:t xml:space="preserve"> Burman (2022) takes inspiration from the work of Frantz Fanon to explore the intersections between childhood, colonialism, development, and social transformation. Published by Morata</w:t>
      </w:r>
      <w:r>
        <w:rPr>
          <w:rStyle w:val="FootnoteReference"/>
          <w:rFonts w:ascii="Verdana" w:hAnsi="Verdana"/>
          <w:lang w:val="en-US"/>
        </w:rPr>
        <w:footnoteReference w:id="1"/>
      </w:r>
      <w:r w:rsidRPr="00965ECA">
        <w:rPr>
          <w:rFonts w:ascii="Verdana" w:hAnsi="Verdana"/>
          <w:lang w:val="en-US"/>
        </w:rPr>
        <w:t>, Burman’s examination extends her trajectory of critical engagement with developmental psychology and education</w:t>
      </w:r>
      <w:r w:rsidR="003C3819">
        <w:rPr>
          <w:rFonts w:ascii="Verdana" w:hAnsi="Verdana"/>
          <w:lang w:val="en-US"/>
        </w:rPr>
        <w:t>. It</w:t>
      </w:r>
      <w:r w:rsidRPr="00965ECA">
        <w:rPr>
          <w:rFonts w:ascii="Verdana" w:hAnsi="Verdana"/>
          <w:lang w:val="en-US"/>
        </w:rPr>
        <w:t xml:space="preserve"> provides a fresh analytical lens to interrogate power dynamics in contemporary societies.</w:t>
      </w:r>
    </w:p>
    <w:p w14:paraId="636005AD" w14:textId="0C5E1728" w:rsidR="00965ECA" w:rsidRPr="00965ECA" w:rsidRDefault="00965ECA" w:rsidP="00965ECA">
      <w:pPr>
        <w:spacing w:after="0" w:line="360" w:lineRule="auto"/>
        <w:ind w:firstLine="708"/>
        <w:rPr>
          <w:rFonts w:ascii="Verdana" w:hAnsi="Verdana"/>
          <w:lang w:val="en-US"/>
        </w:rPr>
      </w:pPr>
      <w:r w:rsidRPr="00965ECA">
        <w:rPr>
          <w:rFonts w:ascii="Verdana" w:hAnsi="Verdana"/>
          <w:lang w:val="en-US"/>
        </w:rPr>
        <w:t xml:space="preserve">This text serves as a key reference for the present issue of the </w:t>
      </w:r>
      <w:r w:rsidRPr="00965ECA">
        <w:rPr>
          <w:rFonts w:ascii="Verdana" w:hAnsi="Verdana"/>
          <w:i/>
          <w:iCs/>
          <w:lang w:val="en-US"/>
        </w:rPr>
        <w:t>Annual Review of Critical Psychology</w:t>
      </w:r>
      <w:r w:rsidRPr="00965ECA">
        <w:rPr>
          <w:rFonts w:ascii="Verdana" w:hAnsi="Verdana"/>
          <w:lang w:val="en-US"/>
        </w:rPr>
        <w:t xml:space="preserve">, dedicated to the notion of "child as method." The concept invites a profound reflection on childhood as an epistemological construct with the potential to illuminate the power structures shaping contemporary life. As Burman (2023, p. 243) observes in a more recent publication, focusing on the </w:t>
      </w:r>
      <w:r w:rsidRPr="00965ECA">
        <w:rPr>
          <w:rFonts w:ascii="Verdana" w:hAnsi="Verdana"/>
          <w:lang w:val="en-US"/>
        </w:rPr>
        <w:lastRenderedPageBreak/>
        <w:t>positioning of child “highlights the necessary intersections between the political economies of childhood and geopolitical dynamics, while countering the normalized and hegemonic functions (of abstraction and individualization) typically enacted by figurations of child/childhood.”</w:t>
      </w:r>
    </w:p>
    <w:p w14:paraId="3D3345F9" w14:textId="77777777" w:rsidR="00965ECA" w:rsidRPr="00714C49" w:rsidRDefault="00965ECA" w:rsidP="00965ECA">
      <w:pPr>
        <w:spacing w:after="0" w:line="360" w:lineRule="auto"/>
        <w:rPr>
          <w:rFonts w:ascii="Verdana" w:hAnsi="Verdana"/>
          <w:lang w:val="en-US"/>
        </w:rPr>
      </w:pPr>
    </w:p>
    <w:p w14:paraId="5F1AA815" w14:textId="6121B73D" w:rsidR="00965ECA" w:rsidRPr="00965ECA" w:rsidRDefault="00965ECA" w:rsidP="00965ECA">
      <w:pPr>
        <w:spacing w:after="0" w:line="360" w:lineRule="auto"/>
        <w:rPr>
          <w:rFonts w:ascii="Verdana" w:hAnsi="Verdana"/>
          <w:b/>
          <w:bCs/>
          <w:lang w:val="en-US"/>
        </w:rPr>
      </w:pPr>
      <w:r w:rsidRPr="00965ECA">
        <w:rPr>
          <w:rFonts w:ascii="Verdana" w:hAnsi="Verdana"/>
          <w:b/>
          <w:bCs/>
          <w:lang w:val="en-US"/>
        </w:rPr>
        <w:t xml:space="preserve">"Child as </w:t>
      </w:r>
      <w:r w:rsidR="004D6382">
        <w:rPr>
          <w:rFonts w:ascii="Verdana" w:hAnsi="Verdana"/>
          <w:b/>
          <w:bCs/>
          <w:lang w:val="en-US"/>
        </w:rPr>
        <w:t>m</w:t>
      </w:r>
      <w:r w:rsidRPr="00965ECA">
        <w:rPr>
          <w:rFonts w:ascii="Verdana" w:hAnsi="Verdana"/>
          <w:b/>
          <w:bCs/>
          <w:lang w:val="en-US"/>
        </w:rPr>
        <w:t>ethod": A Conceptual and Analytical Framework</w:t>
      </w:r>
    </w:p>
    <w:p w14:paraId="03118902" w14:textId="5C374A28" w:rsidR="00965ECA" w:rsidRPr="00965ECA" w:rsidRDefault="00965ECA" w:rsidP="00965ECA">
      <w:pPr>
        <w:spacing w:after="0" w:line="360" w:lineRule="auto"/>
        <w:rPr>
          <w:rFonts w:ascii="Verdana" w:hAnsi="Verdana"/>
          <w:lang w:val="en-US"/>
        </w:rPr>
      </w:pPr>
      <w:r w:rsidRPr="00965ECA">
        <w:rPr>
          <w:rFonts w:ascii="Verdana" w:hAnsi="Verdana"/>
          <w:lang w:val="en-US"/>
        </w:rPr>
        <w:t>Burman introduces the notion of "child as method" as an analytical approach to examine sociopolitical practices through the positioning assigned to child, childhood, and children. Within this framework, " child" is conceptualized as a figure or trope, childhood as a social condition or category, and children as embodied, living entities who inhabit these constructions.</w:t>
      </w:r>
      <w:r>
        <w:rPr>
          <w:rFonts w:ascii="Verdana" w:hAnsi="Verdana"/>
          <w:lang w:val="en-US"/>
        </w:rPr>
        <w:t xml:space="preserve"> </w:t>
      </w:r>
      <w:r w:rsidRPr="00965ECA">
        <w:rPr>
          <w:rFonts w:ascii="Verdana" w:hAnsi="Verdana"/>
          <w:lang w:val="en-US"/>
        </w:rPr>
        <w:t xml:space="preserve">This approach is grounded in the premise that childhood is neither a natural nor a universal category, but rather a social construct that reflects and perpetuates existing power relations. Burman critiques developmental metaphors for their reliance on a linear and teleological view of </w:t>
      </w:r>
      <w:r w:rsidR="00714C49">
        <w:rPr>
          <w:rFonts w:ascii="Verdana" w:hAnsi="Verdana"/>
          <w:lang w:val="en-US"/>
        </w:rPr>
        <w:t>development</w:t>
      </w:r>
      <w:r w:rsidRPr="00965ECA">
        <w:rPr>
          <w:rFonts w:ascii="Verdana" w:hAnsi="Verdana"/>
          <w:lang w:val="en-US"/>
        </w:rPr>
        <w:t xml:space="preserve">, where the child is positioned as an incomplete being moving toward the idealized endpoint of adulthood. </w:t>
      </w:r>
      <w:r w:rsidRPr="00965ECA">
        <w:rPr>
          <w:rFonts w:ascii="Verdana" w:hAnsi="Verdana"/>
          <w:i/>
          <w:iCs/>
          <w:lang w:val="en-US"/>
        </w:rPr>
        <w:t>Fanon y Educación: El “niño como método</w:t>
      </w:r>
      <w:r w:rsidR="005054EA">
        <w:rPr>
          <w:rFonts w:ascii="Verdana" w:hAnsi="Verdana"/>
          <w:i/>
          <w:iCs/>
          <w:lang w:val="en-US"/>
        </w:rPr>
        <w:t>”</w:t>
      </w:r>
      <w:r w:rsidR="002B2A2D">
        <w:rPr>
          <w:rStyle w:val="FootnoteReference"/>
          <w:rFonts w:ascii="Verdana" w:hAnsi="Verdana"/>
          <w:i/>
          <w:iCs/>
          <w:lang w:val="en-US"/>
        </w:rPr>
        <w:footnoteReference w:id="2"/>
      </w:r>
      <w:r w:rsidRPr="00965ECA">
        <w:rPr>
          <w:rFonts w:ascii="Verdana" w:hAnsi="Verdana"/>
          <w:lang w:val="en-US"/>
        </w:rPr>
        <w:t xml:space="preserve"> challenges this vision by emphasizing the plurality of childhoods and contesting the idea of a singular, universal trajectory of development.</w:t>
      </w:r>
    </w:p>
    <w:p w14:paraId="52C1D131" w14:textId="7B69E2B9" w:rsidR="00965ECA" w:rsidRPr="00965ECA" w:rsidRDefault="00965ECA" w:rsidP="00714C49">
      <w:pPr>
        <w:spacing w:after="0" w:line="360" w:lineRule="auto"/>
        <w:ind w:firstLine="708"/>
        <w:rPr>
          <w:rFonts w:ascii="Verdana" w:hAnsi="Verdana"/>
          <w:lang w:val="en-US"/>
        </w:rPr>
      </w:pPr>
      <w:r w:rsidRPr="00965ECA">
        <w:rPr>
          <w:rFonts w:ascii="Verdana" w:hAnsi="Verdana"/>
          <w:lang w:val="en-US"/>
        </w:rPr>
        <w:t xml:space="preserve">Interrogating developmental metaphors, as Burman proposes, exposes the ideologies driving developmental models, unravels </w:t>
      </w:r>
      <w:r w:rsidR="003C3819">
        <w:rPr>
          <w:rFonts w:ascii="Verdana" w:hAnsi="Verdana"/>
          <w:lang w:val="en-US"/>
        </w:rPr>
        <w:t>how</w:t>
      </w:r>
      <w:r w:rsidRPr="00965ECA">
        <w:rPr>
          <w:rFonts w:ascii="Verdana" w:hAnsi="Verdana"/>
          <w:lang w:val="en-US"/>
        </w:rPr>
        <w:t xml:space="preserve"> notions of progress, modernity, and well-being are articulated through the figure of child, and highlights the need to break away </w:t>
      </w:r>
      <w:r w:rsidRPr="00965ECA">
        <w:rPr>
          <w:rFonts w:ascii="Verdana" w:hAnsi="Verdana"/>
          <w:lang w:val="en-US"/>
        </w:rPr>
        <w:lastRenderedPageBreak/>
        <w:t>from normalizing teleologies rooted in affluent, Global North, advanced capitalist paradigms. Instead, she advocates for an approach that centers on the local specificities of childhood and education, decoupling them from universalizing developmental schemas.</w:t>
      </w:r>
    </w:p>
    <w:p w14:paraId="708318DF" w14:textId="127496C3" w:rsidR="00965ECA" w:rsidRPr="00714C49" w:rsidRDefault="00965ECA" w:rsidP="00965ECA">
      <w:pPr>
        <w:spacing w:after="0" w:line="360" w:lineRule="auto"/>
        <w:rPr>
          <w:rFonts w:ascii="Verdana" w:hAnsi="Verdana"/>
          <w:lang w:val="en-US"/>
        </w:rPr>
      </w:pPr>
    </w:p>
    <w:p w14:paraId="705E0C35" w14:textId="77777777" w:rsidR="00965ECA" w:rsidRPr="00965ECA" w:rsidRDefault="00965ECA" w:rsidP="00965ECA">
      <w:pPr>
        <w:spacing w:after="0" w:line="360" w:lineRule="auto"/>
        <w:rPr>
          <w:rFonts w:ascii="Verdana" w:hAnsi="Verdana"/>
          <w:b/>
          <w:bCs/>
          <w:lang w:val="en-US"/>
        </w:rPr>
      </w:pPr>
      <w:r w:rsidRPr="00965ECA">
        <w:rPr>
          <w:rFonts w:ascii="Verdana" w:hAnsi="Verdana"/>
          <w:b/>
          <w:bCs/>
          <w:lang w:val="en-US"/>
        </w:rPr>
        <w:t>Influences and Theoretical Foundations</w:t>
      </w:r>
    </w:p>
    <w:p w14:paraId="2A55D1B3" w14:textId="282BDF8D" w:rsidR="00965ECA" w:rsidRPr="00965ECA" w:rsidRDefault="00965ECA" w:rsidP="00EE399E">
      <w:pPr>
        <w:spacing w:after="0" w:line="360" w:lineRule="auto"/>
        <w:rPr>
          <w:rFonts w:ascii="Verdana" w:hAnsi="Verdana"/>
          <w:lang w:val="en-US"/>
        </w:rPr>
      </w:pPr>
      <w:r w:rsidRPr="00965ECA">
        <w:rPr>
          <w:rFonts w:ascii="Verdana" w:hAnsi="Verdana"/>
          <w:lang w:val="en-US"/>
        </w:rPr>
        <w:t>Burman’s book constitutes a profoundly interdisciplinary intervention, engaging educational studies, childhood studies, feminist and queer theory, postcolonial studies, psychoanalysis, and political theory. By interweaving these perspectives, Burman illustrates how a Fanonian analysis can be enriched through dialogue with these frameworks, opening new avenues for research and critical inquiry.</w:t>
      </w:r>
      <w:r w:rsidR="009B0288">
        <w:rPr>
          <w:rFonts w:ascii="Verdana" w:hAnsi="Verdana"/>
          <w:lang w:val="en-US"/>
        </w:rPr>
        <w:t xml:space="preserve"> </w:t>
      </w:r>
      <w:r w:rsidRPr="00965ECA">
        <w:rPr>
          <w:rFonts w:ascii="Verdana" w:hAnsi="Verdana"/>
          <w:lang w:val="en-US"/>
        </w:rPr>
        <w:t>In this work, Burman significantly expands existing debates on Frantz Fanon within educational studies by introducing a novel focus on childhood, particularly its multiple formulations (idiotic, traumatogenic, therapeutic, extemic), and its role in processes of colonization, decolonization, and social transformation. Ian Parker (2022</w:t>
      </w:r>
      <w:r w:rsidR="00EE399E">
        <w:rPr>
          <w:rFonts w:ascii="Verdana" w:hAnsi="Verdana"/>
          <w:lang w:val="en-US"/>
        </w:rPr>
        <w:t>, p. xii – original English version</w:t>
      </w:r>
      <w:r w:rsidRPr="00965ECA">
        <w:rPr>
          <w:rFonts w:ascii="Verdana" w:hAnsi="Verdana"/>
          <w:lang w:val="en-US"/>
        </w:rPr>
        <w:t>), in his foreword to the Spanish edition, underscores that these formulations serve as “</w:t>
      </w:r>
      <w:r w:rsidR="00EE399E" w:rsidRPr="00EE399E">
        <w:rPr>
          <w:rFonts w:ascii="Verdana" w:hAnsi="Verdana"/>
          <w:lang w:val="en-US"/>
        </w:rPr>
        <w:t>lens through which we can throw light on critique in psychology,</w:t>
      </w:r>
      <w:r w:rsidR="00EE399E">
        <w:rPr>
          <w:rFonts w:ascii="Verdana" w:hAnsi="Verdana"/>
          <w:lang w:val="en-US"/>
        </w:rPr>
        <w:t xml:space="preserve"> </w:t>
      </w:r>
      <w:r w:rsidR="00EE399E" w:rsidRPr="00EE399E">
        <w:rPr>
          <w:rFonts w:ascii="Verdana" w:hAnsi="Verdana"/>
          <w:lang w:val="en-US"/>
        </w:rPr>
        <w:t>on social relations, and educational practice</w:t>
      </w:r>
      <w:r w:rsidRPr="00965ECA">
        <w:rPr>
          <w:rFonts w:ascii="Verdana" w:hAnsi="Verdana"/>
          <w:lang w:val="en-US"/>
        </w:rPr>
        <w:t>.” However, as Parker points out, the book’s aim transcends these critical lenses: it seeks to “</w:t>
      </w:r>
      <w:r w:rsidR="00EE399E" w:rsidRPr="00EE399E">
        <w:rPr>
          <w:rFonts w:ascii="Verdana" w:hAnsi="Verdana"/>
          <w:lang w:val="en-US"/>
        </w:rPr>
        <w:t>open up the figure of the child, to show that it is not what it seems and to</w:t>
      </w:r>
      <w:r w:rsidR="00EE399E">
        <w:rPr>
          <w:rFonts w:ascii="Verdana" w:hAnsi="Verdana"/>
          <w:lang w:val="en-US"/>
        </w:rPr>
        <w:t xml:space="preserve"> </w:t>
      </w:r>
      <w:r w:rsidR="00EE399E" w:rsidRPr="00EE399E">
        <w:rPr>
          <w:rFonts w:ascii="Verdana" w:hAnsi="Verdana"/>
          <w:lang w:val="en-US"/>
        </w:rPr>
        <w:t>find new ways of reading it, and so new ways of reading Fanon</w:t>
      </w:r>
      <w:r w:rsidRPr="00965ECA">
        <w:rPr>
          <w:rFonts w:ascii="Verdana" w:hAnsi="Verdana"/>
          <w:lang w:val="en-US"/>
        </w:rPr>
        <w:t>” (p. xii).</w:t>
      </w:r>
    </w:p>
    <w:p w14:paraId="395A954C" w14:textId="67B8D55B" w:rsidR="00965ECA" w:rsidRDefault="00965ECA" w:rsidP="00EE399E">
      <w:pPr>
        <w:spacing w:after="0" w:line="360" w:lineRule="auto"/>
        <w:ind w:firstLine="708"/>
        <w:rPr>
          <w:rFonts w:ascii="Verdana" w:hAnsi="Verdana"/>
          <w:lang w:val="en-US"/>
        </w:rPr>
      </w:pPr>
      <w:r w:rsidRPr="00965ECA">
        <w:rPr>
          <w:rFonts w:ascii="Verdana" w:hAnsi="Verdana"/>
          <w:lang w:val="en-US"/>
        </w:rPr>
        <w:t xml:space="preserve">One of the book’s notable contributions lies in how Fanon’s materialist analysis of the subject—shaped by gender, race, class, and generation—can inform feminist and queer approaches. Drawing on Fanon’s case studies from </w:t>
      </w:r>
      <w:r w:rsidRPr="00965ECA">
        <w:rPr>
          <w:rFonts w:ascii="Verdana" w:hAnsi="Verdana"/>
          <w:i/>
          <w:iCs/>
          <w:lang w:val="en-US"/>
        </w:rPr>
        <w:t>The Wretched of the Earth</w:t>
      </w:r>
      <w:r w:rsidRPr="00965ECA">
        <w:rPr>
          <w:rFonts w:ascii="Verdana" w:hAnsi="Verdana"/>
          <w:lang w:val="en-US"/>
        </w:rPr>
        <w:t xml:space="preserve"> (1961) and </w:t>
      </w:r>
      <w:r w:rsidRPr="00965ECA">
        <w:rPr>
          <w:rFonts w:ascii="Verdana" w:hAnsi="Verdana"/>
          <w:i/>
          <w:iCs/>
          <w:lang w:val="en-US"/>
        </w:rPr>
        <w:t>A Dying Colonialism</w:t>
      </w:r>
      <w:r w:rsidRPr="00965ECA">
        <w:rPr>
          <w:rFonts w:ascii="Verdana" w:hAnsi="Verdana"/>
          <w:lang w:val="en-US"/>
        </w:rPr>
        <w:t xml:space="preserve"> (1959), Burman examines not only the brutalizing effects of colonialism on both oppressors and the oppressed but also </w:t>
      </w:r>
      <w:r w:rsidRPr="00965ECA">
        <w:rPr>
          <w:rFonts w:ascii="Verdana" w:hAnsi="Verdana"/>
          <w:lang w:val="en-US"/>
        </w:rPr>
        <w:lastRenderedPageBreak/>
        <w:t>the possibilities of forging coalitions across racialized, gendered, classed, and religious identities.</w:t>
      </w:r>
    </w:p>
    <w:p w14:paraId="10F3030C" w14:textId="77777777" w:rsidR="00714C49" w:rsidRPr="00965ECA" w:rsidRDefault="00714C49" w:rsidP="00EE399E">
      <w:pPr>
        <w:spacing w:after="0" w:line="360" w:lineRule="auto"/>
        <w:ind w:firstLine="708"/>
        <w:rPr>
          <w:rFonts w:ascii="Verdana" w:hAnsi="Verdana"/>
          <w:lang w:val="en-US"/>
        </w:rPr>
      </w:pPr>
    </w:p>
    <w:p w14:paraId="1D6B06DA" w14:textId="77777777" w:rsidR="00965ECA" w:rsidRPr="00965ECA" w:rsidRDefault="00965ECA" w:rsidP="00965ECA">
      <w:pPr>
        <w:spacing w:after="0" w:line="360" w:lineRule="auto"/>
        <w:rPr>
          <w:rFonts w:ascii="Verdana" w:hAnsi="Verdana"/>
          <w:b/>
          <w:bCs/>
          <w:lang w:val="en-US"/>
        </w:rPr>
      </w:pPr>
      <w:r w:rsidRPr="00965ECA">
        <w:rPr>
          <w:rFonts w:ascii="Verdana" w:hAnsi="Verdana"/>
          <w:b/>
          <w:bCs/>
          <w:lang w:val="en-US"/>
        </w:rPr>
        <w:t>Contextual Relevance and Methodological Contributions</w:t>
      </w:r>
    </w:p>
    <w:p w14:paraId="4DA0ED6E" w14:textId="4769A95F" w:rsidR="00965ECA" w:rsidRPr="00965ECA" w:rsidRDefault="00965ECA" w:rsidP="00965ECA">
      <w:pPr>
        <w:spacing w:after="0" w:line="360" w:lineRule="auto"/>
        <w:rPr>
          <w:rFonts w:ascii="Verdana" w:hAnsi="Verdana"/>
          <w:lang w:val="en-US"/>
        </w:rPr>
      </w:pPr>
      <w:r w:rsidRPr="00965ECA">
        <w:rPr>
          <w:rFonts w:ascii="Verdana" w:hAnsi="Verdana"/>
          <w:lang w:val="en-US"/>
        </w:rPr>
        <w:t>Burman’s interpretation of Fanon’s work is especially pertinent in today’s context, marked by the resurgence of systemic racism and the urgent call to decolonize institutions and social practices. By exploring the intricate relationships among childhood, colonialism, and subjectivity, Burman provides essential conceptual tools for analyzing power dynamics in education, developing intersectional and antiracist pedagogies, and imagining more equitable and inclusive futures.</w:t>
      </w:r>
      <w:r w:rsidR="00EE399E">
        <w:rPr>
          <w:rFonts w:ascii="Verdana" w:hAnsi="Verdana"/>
          <w:lang w:val="en-US"/>
        </w:rPr>
        <w:t xml:space="preserve"> </w:t>
      </w:r>
      <w:r w:rsidRPr="00965ECA">
        <w:rPr>
          <w:rFonts w:ascii="Verdana" w:hAnsi="Verdana"/>
          <w:lang w:val="en-US"/>
        </w:rPr>
        <w:t>In this regard, Burman (2022) positions intersectionality not as a solution or endpoint but as a “way of seeing”—a methodological tool to analyze the interwoven axes of power that shape lived experiences.</w:t>
      </w:r>
    </w:p>
    <w:p w14:paraId="6714A580" w14:textId="3B1092A9" w:rsidR="00965ECA" w:rsidRDefault="00965ECA" w:rsidP="00EE399E">
      <w:pPr>
        <w:spacing w:after="0" w:line="360" w:lineRule="auto"/>
        <w:ind w:firstLine="708"/>
        <w:rPr>
          <w:rFonts w:ascii="Verdana" w:hAnsi="Verdana"/>
          <w:lang w:val="en-US"/>
        </w:rPr>
      </w:pPr>
      <w:r w:rsidRPr="00965ECA">
        <w:rPr>
          <w:rFonts w:ascii="Verdana" w:hAnsi="Verdana"/>
          <w:lang w:val="en-US"/>
        </w:rPr>
        <w:t xml:space="preserve">The central concept of the book, "child as method," draws inspiration from seminal works such as Kuan-Hsing Chen’s </w:t>
      </w:r>
      <w:r w:rsidRPr="00965ECA">
        <w:rPr>
          <w:rFonts w:ascii="Verdana" w:hAnsi="Verdana"/>
          <w:i/>
          <w:iCs/>
          <w:lang w:val="en-US"/>
        </w:rPr>
        <w:t>Asia as Method</w:t>
      </w:r>
      <w:r w:rsidRPr="00965ECA">
        <w:rPr>
          <w:rFonts w:ascii="Verdana" w:hAnsi="Verdana"/>
          <w:lang w:val="en-US"/>
        </w:rPr>
        <w:t xml:space="preserve"> (2010) and Sandro Mezzadra and Brett Neilson’s </w:t>
      </w:r>
      <w:r w:rsidRPr="00965ECA">
        <w:rPr>
          <w:rFonts w:ascii="Verdana" w:hAnsi="Verdana"/>
          <w:i/>
          <w:iCs/>
          <w:lang w:val="en-US"/>
        </w:rPr>
        <w:t>Border as Method</w:t>
      </w:r>
      <w:r w:rsidRPr="00965ECA">
        <w:rPr>
          <w:rFonts w:ascii="Verdana" w:hAnsi="Verdana"/>
          <w:lang w:val="en-US"/>
        </w:rPr>
        <w:t xml:space="preserve"> (2013/2017). Chen’s work advocates for a radical shift in cultural studies, challenging the dominance of Western perspectives by prioritizing relational and situated analyses within Asia. Similarly, Burman’s </w:t>
      </w:r>
      <w:r w:rsidRPr="00965ECA">
        <w:rPr>
          <w:rFonts w:ascii="Verdana" w:hAnsi="Verdana"/>
          <w:i/>
          <w:iCs/>
          <w:lang w:val="en-US"/>
        </w:rPr>
        <w:t>Fanon y Educación: El “niño como método</w:t>
      </w:r>
      <w:r w:rsidR="00EE399E">
        <w:rPr>
          <w:rFonts w:ascii="Verdana" w:hAnsi="Verdana"/>
          <w:i/>
          <w:iCs/>
          <w:lang w:val="en-US"/>
        </w:rPr>
        <w:t>”</w:t>
      </w:r>
      <w:r w:rsidRPr="00965ECA">
        <w:rPr>
          <w:rFonts w:ascii="Verdana" w:hAnsi="Verdana"/>
          <w:lang w:val="en-US"/>
        </w:rPr>
        <w:t xml:space="preserve"> displaces traditional centers of power and knowledge, instead emphasizing local and regional dynamics.</w:t>
      </w:r>
      <w:r w:rsidR="00EE399E">
        <w:rPr>
          <w:rFonts w:ascii="Verdana" w:hAnsi="Verdana"/>
          <w:lang w:val="en-US"/>
        </w:rPr>
        <w:t xml:space="preserve"> </w:t>
      </w:r>
      <w:r w:rsidRPr="00965ECA">
        <w:rPr>
          <w:rFonts w:ascii="Verdana" w:hAnsi="Verdana"/>
          <w:lang w:val="en-US"/>
        </w:rPr>
        <w:t xml:space="preserve">In line with Chen, Burman highlights the interconnectedness and hybridity of cultures and practices, rejecting false dichotomies between indigenous and Global North/colonial knowledges. At the same time, she avoids the essentialisms that sometimes accompany claims to precolonial or indigenous epistemologies. Likewise, Burman builds on Mezzadra and Neilson’s framework by analyzing how borders—both physical and symbolic—shape childhood experiences. Her work explores how children navigate these boundaries, whether geographical, temporal (e.g., </w:t>
      </w:r>
      <w:r w:rsidRPr="00965ECA">
        <w:rPr>
          <w:rFonts w:ascii="Verdana" w:hAnsi="Verdana"/>
          <w:lang w:val="en-US"/>
        </w:rPr>
        <w:lastRenderedPageBreak/>
        <w:t>transitions from childhood to adulthood), or institutional, and how such transitions are mediated by power structures and social expectations.</w:t>
      </w:r>
    </w:p>
    <w:p w14:paraId="4C3AF179" w14:textId="77777777" w:rsidR="00714C49" w:rsidRPr="00965ECA" w:rsidRDefault="00714C49" w:rsidP="00EE399E">
      <w:pPr>
        <w:spacing w:after="0" w:line="360" w:lineRule="auto"/>
        <w:ind w:firstLine="708"/>
        <w:rPr>
          <w:rFonts w:ascii="Verdana" w:hAnsi="Verdana"/>
          <w:lang w:val="en-US"/>
        </w:rPr>
      </w:pPr>
    </w:p>
    <w:p w14:paraId="03E41761" w14:textId="77777777" w:rsidR="00965ECA" w:rsidRPr="00965ECA" w:rsidRDefault="00965ECA" w:rsidP="00965ECA">
      <w:pPr>
        <w:spacing w:after="0" w:line="360" w:lineRule="auto"/>
        <w:rPr>
          <w:rFonts w:ascii="Verdana" w:hAnsi="Verdana"/>
          <w:b/>
          <w:bCs/>
          <w:lang w:val="en-US"/>
        </w:rPr>
      </w:pPr>
      <w:r w:rsidRPr="00965ECA">
        <w:rPr>
          <w:rFonts w:ascii="Verdana" w:hAnsi="Verdana"/>
          <w:b/>
          <w:bCs/>
          <w:lang w:val="en-US"/>
        </w:rPr>
        <w:t>Conclusions: A Call to Action</w:t>
      </w:r>
    </w:p>
    <w:p w14:paraId="28F10A16" w14:textId="46FA78E7" w:rsidR="00965ECA" w:rsidRPr="00965ECA" w:rsidRDefault="00965ECA" w:rsidP="00965ECA">
      <w:pPr>
        <w:spacing w:after="0" w:line="360" w:lineRule="auto"/>
        <w:rPr>
          <w:rFonts w:ascii="Verdana" w:hAnsi="Verdana"/>
          <w:lang w:val="en-US"/>
        </w:rPr>
      </w:pPr>
      <w:r w:rsidRPr="00965ECA">
        <w:rPr>
          <w:rFonts w:ascii="Verdana" w:hAnsi="Verdana"/>
          <w:i/>
          <w:iCs/>
          <w:lang w:val="en-US"/>
        </w:rPr>
        <w:t>Fanon y Educación: El “niño como método</w:t>
      </w:r>
      <w:r w:rsidR="00EE399E">
        <w:rPr>
          <w:rFonts w:ascii="Verdana" w:hAnsi="Verdana"/>
          <w:i/>
          <w:iCs/>
          <w:lang w:val="en-US"/>
        </w:rPr>
        <w:t>”</w:t>
      </w:r>
      <w:r w:rsidRPr="00965ECA">
        <w:rPr>
          <w:rFonts w:ascii="Verdana" w:hAnsi="Verdana"/>
          <w:lang w:val="en-US"/>
        </w:rPr>
        <w:t xml:space="preserve"> is a groundbreaking synthesis of theoretical and methodological perspectives, challenging dominant narratives on childhood, decolonization, and development. By centering the child as a nexus of geopolitical, social, and cultural dynamics, Burman</w:t>
      </w:r>
      <w:r w:rsidR="00EE399E">
        <w:rPr>
          <w:rFonts w:ascii="Verdana" w:hAnsi="Verdana"/>
          <w:lang w:val="en-US"/>
        </w:rPr>
        <w:t xml:space="preserve"> (2022)</w:t>
      </w:r>
      <w:r w:rsidRPr="00965ECA">
        <w:rPr>
          <w:rFonts w:ascii="Verdana" w:hAnsi="Verdana"/>
          <w:lang w:val="en-US"/>
        </w:rPr>
        <w:t xml:space="preserve"> offers a powerful analytical tool for understanding the complexities of childhood in a globalized world.</w:t>
      </w:r>
      <w:r w:rsidR="00EE399E">
        <w:rPr>
          <w:rFonts w:ascii="Verdana" w:hAnsi="Verdana"/>
          <w:lang w:val="en-US"/>
        </w:rPr>
        <w:t xml:space="preserve"> </w:t>
      </w:r>
      <w:r w:rsidRPr="00965ECA">
        <w:rPr>
          <w:rFonts w:ascii="Verdana" w:hAnsi="Verdana"/>
          <w:lang w:val="en-US"/>
        </w:rPr>
        <w:t xml:space="preserve">Building on the legacies of Fanon, </w:t>
      </w:r>
      <w:r w:rsidR="00EE399E">
        <w:rPr>
          <w:rFonts w:ascii="Verdana" w:hAnsi="Verdana"/>
          <w:lang w:val="en-US"/>
        </w:rPr>
        <w:t xml:space="preserve">and inspiring works by </w:t>
      </w:r>
      <w:r w:rsidRPr="00965ECA">
        <w:rPr>
          <w:rFonts w:ascii="Verdana" w:hAnsi="Verdana"/>
          <w:lang w:val="en-US"/>
        </w:rPr>
        <w:t>Chen, and Mezzadra and Neilson, Burman develops a framework that interrogates the intersections of childhood and power, offering critical tools for challenging inequalities and fostering inclusion.</w:t>
      </w:r>
      <w:r w:rsidR="00EE399E">
        <w:rPr>
          <w:rFonts w:ascii="Verdana" w:hAnsi="Verdana"/>
          <w:lang w:val="en-US"/>
        </w:rPr>
        <w:t xml:space="preserve"> </w:t>
      </w:r>
      <w:r w:rsidRPr="00965ECA">
        <w:rPr>
          <w:rFonts w:ascii="Verdana" w:hAnsi="Verdana"/>
          <w:lang w:val="en-US"/>
        </w:rPr>
        <w:t xml:space="preserve">Ultimately, </w:t>
      </w:r>
      <w:r w:rsidRPr="00965ECA">
        <w:rPr>
          <w:rFonts w:ascii="Verdana" w:hAnsi="Verdana"/>
          <w:i/>
          <w:iCs/>
          <w:lang w:val="en-US"/>
        </w:rPr>
        <w:t>Fanon y Educación: El “niño como método</w:t>
      </w:r>
      <w:r w:rsidR="00EE399E">
        <w:rPr>
          <w:rFonts w:ascii="Verdana" w:hAnsi="Verdana"/>
          <w:i/>
          <w:iCs/>
          <w:lang w:val="en-US"/>
        </w:rPr>
        <w:t>”</w:t>
      </w:r>
      <w:r w:rsidRPr="00965ECA">
        <w:rPr>
          <w:rFonts w:ascii="Verdana" w:hAnsi="Verdana"/>
          <w:lang w:val="en-US"/>
        </w:rPr>
        <w:t xml:space="preserve"> stands as an invaluable epistemological resource for decolonizing dominant narratives of development and advancing a more just and inclusive vision of childhood. The "child as method" is not just an analytical approach—it is a call to action, urging us to rethink how we understand childhood and to expose the ways in which power structures shape children’s lives. This framework not only challenges prevailing paradigms but also advocates for justice, inclusion, and the empowerment of children as active agents of change.</w:t>
      </w:r>
    </w:p>
    <w:p w14:paraId="39845D0F" w14:textId="77777777" w:rsidR="00965ECA" w:rsidRPr="00965ECA" w:rsidRDefault="00965ECA" w:rsidP="009150F0">
      <w:pPr>
        <w:spacing w:after="0" w:line="360" w:lineRule="auto"/>
        <w:rPr>
          <w:rFonts w:ascii="Verdana" w:hAnsi="Verdana"/>
          <w:lang w:val="en-US"/>
        </w:rPr>
      </w:pPr>
    </w:p>
    <w:p w14:paraId="6EB846E5" w14:textId="77777777" w:rsidR="00965ECA" w:rsidRPr="00965ECA" w:rsidRDefault="00965ECA" w:rsidP="009150F0">
      <w:pPr>
        <w:spacing w:after="0" w:line="360" w:lineRule="auto"/>
        <w:rPr>
          <w:rFonts w:ascii="Verdana" w:hAnsi="Verdana"/>
          <w:lang w:val="en-US"/>
        </w:rPr>
      </w:pPr>
    </w:p>
    <w:p w14:paraId="4D5EAF92" w14:textId="22B16D8E" w:rsidR="00407CD0" w:rsidRPr="00714C49" w:rsidRDefault="00407CD0" w:rsidP="009150F0">
      <w:pPr>
        <w:tabs>
          <w:tab w:val="left" w:pos="2088"/>
        </w:tabs>
        <w:spacing w:after="0" w:line="360" w:lineRule="auto"/>
        <w:rPr>
          <w:rFonts w:ascii="Verdana" w:hAnsi="Verdana"/>
          <w:b/>
          <w:bCs/>
          <w:lang w:val="en-US"/>
        </w:rPr>
      </w:pPr>
      <w:r w:rsidRPr="00714C49">
        <w:rPr>
          <w:rFonts w:ascii="Verdana" w:hAnsi="Verdana"/>
          <w:b/>
          <w:bCs/>
          <w:lang w:val="en-US"/>
        </w:rPr>
        <w:t>References</w:t>
      </w:r>
    </w:p>
    <w:p w14:paraId="20E34B13" w14:textId="77777777" w:rsidR="009150F0" w:rsidRDefault="009150F0" w:rsidP="009150F0">
      <w:pPr>
        <w:tabs>
          <w:tab w:val="left" w:pos="2088"/>
        </w:tabs>
        <w:spacing w:after="0" w:line="360" w:lineRule="auto"/>
        <w:ind w:left="284" w:hanging="284"/>
        <w:rPr>
          <w:rFonts w:ascii="Verdana" w:hAnsi="Verdana"/>
          <w:lang w:val="en-US"/>
        </w:rPr>
      </w:pPr>
      <w:r w:rsidRPr="00714C49">
        <w:rPr>
          <w:rFonts w:ascii="Verdana" w:hAnsi="Verdana"/>
          <w:lang w:val="en-US"/>
        </w:rPr>
        <w:t xml:space="preserve">Burman, E. (2024). </w:t>
      </w:r>
      <w:r w:rsidRPr="009150F0">
        <w:rPr>
          <w:rFonts w:ascii="Verdana" w:hAnsi="Verdana"/>
          <w:i/>
          <w:iCs/>
          <w:lang w:val="en-US"/>
        </w:rPr>
        <w:t>Child as Method: Othering, Interiority and Materialism</w:t>
      </w:r>
      <w:r w:rsidRPr="009150F0">
        <w:rPr>
          <w:rFonts w:ascii="Verdana" w:hAnsi="Verdana"/>
          <w:lang w:val="en-US"/>
        </w:rPr>
        <w:t xml:space="preserve">. Taylor &amp; Francis. </w:t>
      </w:r>
    </w:p>
    <w:p w14:paraId="4AC3CC94" w14:textId="77777777" w:rsidR="009150F0" w:rsidRPr="009150F0" w:rsidRDefault="009150F0" w:rsidP="009150F0">
      <w:pPr>
        <w:tabs>
          <w:tab w:val="left" w:pos="2088"/>
        </w:tabs>
        <w:spacing w:after="0" w:line="360" w:lineRule="auto"/>
        <w:ind w:left="284" w:hanging="284"/>
        <w:rPr>
          <w:rFonts w:ascii="Verdana" w:hAnsi="Verdana"/>
        </w:rPr>
      </w:pPr>
      <w:r w:rsidRPr="009150F0">
        <w:rPr>
          <w:rFonts w:ascii="Verdana" w:hAnsi="Verdana"/>
          <w:lang w:val="en-US"/>
        </w:rPr>
        <w:t xml:space="preserve">Burman, E. (2023). Child as method: A device to read the geopolitics of childhood. </w:t>
      </w:r>
      <w:r w:rsidRPr="009150F0">
        <w:rPr>
          <w:rFonts w:ascii="Verdana" w:hAnsi="Verdana"/>
          <w:i/>
          <w:iCs/>
        </w:rPr>
        <w:t>Teknokultura: Revista de Cultura Digital y Movimientos Sociales</w:t>
      </w:r>
      <w:r w:rsidRPr="009150F0">
        <w:rPr>
          <w:rFonts w:ascii="Verdana" w:hAnsi="Verdana"/>
        </w:rPr>
        <w:t xml:space="preserve">, </w:t>
      </w:r>
      <w:r w:rsidRPr="009150F0">
        <w:rPr>
          <w:rFonts w:ascii="Verdana" w:hAnsi="Verdana"/>
          <w:i/>
          <w:iCs/>
        </w:rPr>
        <w:t>20</w:t>
      </w:r>
      <w:r w:rsidRPr="009150F0">
        <w:rPr>
          <w:rFonts w:ascii="Verdana" w:hAnsi="Verdana"/>
        </w:rPr>
        <w:t>(2), 243-250.</w:t>
      </w:r>
    </w:p>
    <w:p w14:paraId="548C17D7" w14:textId="77777777" w:rsidR="009150F0" w:rsidRPr="00714C49" w:rsidRDefault="009150F0" w:rsidP="009150F0">
      <w:pPr>
        <w:tabs>
          <w:tab w:val="left" w:pos="2088"/>
        </w:tabs>
        <w:spacing w:after="0" w:line="360" w:lineRule="auto"/>
        <w:ind w:left="284" w:hanging="284"/>
        <w:rPr>
          <w:rFonts w:ascii="Verdana" w:hAnsi="Verdana"/>
          <w:lang w:val="en-US"/>
        </w:rPr>
      </w:pPr>
      <w:r w:rsidRPr="00714C49">
        <w:rPr>
          <w:rFonts w:ascii="Verdana" w:hAnsi="Verdana"/>
        </w:rPr>
        <w:lastRenderedPageBreak/>
        <w:t xml:space="preserve">Burman, E. (2022). </w:t>
      </w:r>
      <w:r w:rsidRPr="00714C49">
        <w:rPr>
          <w:rFonts w:ascii="Verdana" w:hAnsi="Verdana"/>
          <w:i/>
          <w:iCs/>
        </w:rPr>
        <w:t xml:space="preserve">Fanon y Educación. </w:t>
      </w:r>
      <w:r w:rsidRPr="009150F0">
        <w:rPr>
          <w:rFonts w:ascii="Verdana" w:hAnsi="Verdana"/>
          <w:i/>
          <w:iCs/>
        </w:rPr>
        <w:t>El "niño como método"</w:t>
      </w:r>
      <w:r w:rsidRPr="009150F0">
        <w:rPr>
          <w:rFonts w:ascii="Verdana" w:hAnsi="Verdana"/>
        </w:rPr>
        <w:t xml:space="preserve"> (Roc Filella, Trans.). </w:t>
      </w:r>
      <w:r w:rsidRPr="00714C49">
        <w:rPr>
          <w:rFonts w:ascii="Verdana" w:hAnsi="Verdana"/>
          <w:lang w:val="en-US"/>
        </w:rPr>
        <w:t>Ediciones Morata (Original work published 2018).</w:t>
      </w:r>
    </w:p>
    <w:p w14:paraId="1D7B7749" w14:textId="77777777" w:rsidR="009150F0" w:rsidRPr="00714C49" w:rsidRDefault="009150F0" w:rsidP="009150F0">
      <w:pPr>
        <w:tabs>
          <w:tab w:val="left" w:pos="2088"/>
        </w:tabs>
        <w:spacing w:after="0" w:line="360" w:lineRule="auto"/>
        <w:ind w:left="284" w:hanging="284"/>
        <w:rPr>
          <w:rFonts w:ascii="Verdana" w:hAnsi="Verdana"/>
        </w:rPr>
      </w:pPr>
      <w:r w:rsidRPr="00714C49">
        <w:rPr>
          <w:rFonts w:ascii="Verdana" w:hAnsi="Verdana"/>
          <w:lang w:val="en-US"/>
        </w:rPr>
        <w:t>Burman, E. (2018). </w:t>
      </w:r>
      <w:r w:rsidRPr="009150F0">
        <w:rPr>
          <w:rFonts w:ascii="Verdana" w:hAnsi="Verdana"/>
          <w:i/>
          <w:iCs/>
          <w:lang w:val="en-US"/>
        </w:rPr>
        <w:t>Fanon, education, action: Child as method</w:t>
      </w:r>
      <w:r w:rsidRPr="009150F0">
        <w:rPr>
          <w:rFonts w:ascii="Verdana" w:hAnsi="Verdana"/>
          <w:lang w:val="en-US"/>
        </w:rPr>
        <w:t xml:space="preserve">. </w:t>
      </w:r>
      <w:r w:rsidRPr="00714C49">
        <w:rPr>
          <w:rFonts w:ascii="Verdana" w:hAnsi="Verdana"/>
        </w:rPr>
        <w:t>Routledge.</w:t>
      </w:r>
    </w:p>
    <w:p w14:paraId="249BFFBE" w14:textId="77777777" w:rsidR="009150F0" w:rsidRPr="00714C49" w:rsidRDefault="009150F0" w:rsidP="009150F0">
      <w:pPr>
        <w:tabs>
          <w:tab w:val="left" w:pos="2088"/>
        </w:tabs>
        <w:spacing w:after="0" w:line="360" w:lineRule="auto"/>
        <w:ind w:left="284" w:hanging="284"/>
        <w:rPr>
          <w:rFonts w:ascii="Verdana" w:hAnsi="Verdana"/>
          <w:lang w:val="en-US"/>
        </w:rPr>
      </w:pPr>
      <w:r w:rsidRPr="00714C49">
        <w:rPr>
          <w:rFonts w:ascii="Verdana" w:hAnsi="Verdana"/>
        </w:rPr>
        <w:t xml:space="preserve">Burman, E. (1998). </w:t>
      </w:r>
      <w:r w:rsidRPr="009150F0">
        <w:rPr>
          <w:rFonts w:ascii="Verdana" w:hAnsi="Verdana"/>
          <w:i/>
          <w:iCs/>
        </w:rPr>
        <w:t>La deconstrucción de la psicología evolutiva</w:t>
      </w:r>
      <w:r>
        <w:rPr>
          <w:rFonts w:ascii="Verdana" w:hAnsi="Verdana"/>
        </w:rPr>
        <w:t xml:space="preserve"> (J.L. González, Trans). </w:t>
      </w:r>
      <w:r w:rsidRPr="00714C49">
        <w:rPr>
          <w:rFonts w:ascii="Verdana" w:hAnsi="Verdana"/>
          <w:lang w:val="en-US"/>
        </w:rPr>
        <w:t>Visor.</w:t>
      </w:r>
    </w:p>
    <w:p w14:paraId="0FAED5CC" w14:textId="77777777" w:rsidR="009150F0" w:rsidRDefault="009150F0" w:rsidP="009150F0">
      <w:pPr>
        <w:tabs>
          <w:tab w:val="left" w:pos="2088"/>
        </w:tabs>
        <w:spacing w:after="0" w:line="360" w:lineRule="auto"/>
        <w:ind w:left="284" w:hanging="284"/>
        <w:rPr>
          <w:rFonts w:ascii="Verdana" w:hAnsi="Verdana"/>
          <w:lang w:val="en-US"/>
        </w:rPr>
      </w:pPr>
      <w:r w:rsidRPr="009150F0">
        <w:rPr>
          <w:rFonts w:ascii="Verdana" w:hAnsi="Verdana"/>
          <w:lang w:val="en-US"/>
        </w:rPr>
        <w:t>Burman, E. (</w:t>
      </w:r>
      <w:r>
        <w:rPr>
          <w:rFonts w:ascii="Verdana" w:hAnsi="Verdana"/>
          <w:lang w:val="en-US"/>
        </w:rPr>
        <w:t>1994</w:t>
      </w:r>
      <w:r w:rsidRPr="009150F0">
        <w:rPr>
          <w:rFonts w:ascii="Verdana" w:hAnsi="Verdana"/>
          <w:lang w:val="en-US"/>
        </w:rPr>
        <w:t xml:space="preserve">). </w:t>
      </w:r>
      <w:r w:rsidRPr="009150F0">
        <w:rPr>
          <w:rFonts w:ascii="Verdana" w:hAnsi="Verdana"/>
          <w:i/>
          <w:iCs/>
          <w:lang w:val="en-US"/>
        </w:rPr>
        <w:t>Deconstructing Developmental Psychology</w:t>
      </w:r>
      <w:r w:rsidRPr="009150F0">
        <w:rPr>
          <w:rFonts w:ascii="Verdana" w:hAnsi="Verdana"/>
          <w:lang w:val="en-US"/>
        </w:rPr>
        <w:t>. Routledge [three revised and updated editions available].</w:t>
      </w:r>
    </w:p>
    <w:p w14:paraId="1038C2D1" w14:textId="77777777" w:rsidR="001D4003" w:rsidRPr="00714C49" w:rsidRDefault="001D4003" w:rsidP="009150F0">
      <w:pPr>
        <w:tabs>
          <w:tab w:val="left" w:pos="2088"/>
        </w:tabs>
        <w:spacing w:after="0" w:line="360" w:lineRule="auto"/>
        <w:ind w:left="284" w:hanging="284"/>
        <w:rPr>
          <w:rFonts w:ascii="Verdana" w:hAnsi="Verdana"/>
          <w:lang w:val="en-US"/>
        </w:rPr>
      </w:pPr>
      <w:r w:rsidRPr="009150F0">
        <w:rPr>
          <w:rFonts w:ascii="Verdana" w:hAnsi="Verdana"/>
          <w:lang w:val="en-US"/>
        </w:rPr>
        <w:t>Callaghan, J., Andenæs, A., &amp; Macleod, C. (2015). Deconstructing Developmental Psychology 20 years on: Reflections, implications and empirical work. </w:t>
      </w:r>
      <w:r w:rsidRPr="00714C49">
        <w:rPr>
          <w:rFonts w:ascii="Verdana" w:hAnsi="Verdana"/>
          <w:i/>
          <w:iCs/>
          <w:lang w:val="en-US"/>
        </w:rPr>
        <w:t>Feminism &amp; Psychology</w:t>
      </w:r>
      <w:r w:rsidRPr="00714C49">
        <w:rPr>
          <w:rFonts w:ascii="Verdana" w:hAnsi="Verdana"/>
          <w:lang w:val="en-US"/>
        </w:rPr>
        <w:t>, </w:t>
      </w:r>
      <w:r w:rsidRPr="00714C49">
        <w:rPr>
          <w:rFonts w:ascii="Verdana" w:hAnsi="Verdana"/>
          <w:i/>
          <w:iCs/>
          <w:lang w:val="en-US"/>
        </w:rPr>
        <w:t>25</w:t>
      </w:r>
      <w:r w:rsidRPr="00714C49">
        <w:rPr>
          <w:rFonts w:ascii="Verdana" w:hAnsi="Verdana"/>
          <w:lang w:val="en-US"/>
        </w:rPr>
        <w:t>(3), 255-265.</w:t>
      </w:r>
    </w:p>
    <w:p w14:paraId="6C968F82" w14:textId="6CCC58B8" w:rsidR="001D4003" w:rsidRPr="009150F0" w:rsidRDefault="001D4003" w:rsidP="009150F0">
      <w:pPr>
        <w:tabs>
          <w:tab w:val="left" w:pos="2088"/>
        </w:tabs>
        <w:spacing w:after="0" w:line="360" w:lineRule="auto"/>
        <w:ind w:left="284" w:hanging="284"/>
        <w:rPr>
          <w:rFonts w:ascii="Verdana" w:hAnsi="Verdana"/>
          <w:lang w:val="en-US"/>
        </w:rPr>
      </w:pPr>
      <w:r w:rsidRPr="009150F0">
        <w:rPr>
          <w:rFonts w:ascii="Verdana" w:hAnsi="Verdana"/>
          <w:lang w:val="en-US"/>
        </w:rPr>
        <w:t xml:space="preserve">Chen, K. H. (2010). </w:t>
      </w:r>
      <w:r w:rsidRPr="009150F0">
        <w:rPr>
          <w:rFonts w:ascii="Verdana" w:hAnsi="Verdana"/>
          <w:i/>
          <w:iCs/>
          <w:lang w:val="en-US"/>
        </w:rPr>
        <w:t xml:space="preserve">Asia as </w:t>
      </w:r>
      <w:r w:rsidR="009150F0">
        <w:rPr>
          <w:rFonts w:ascii="Verdana" w:hAnsi="Verdana"/>
          <w:i/>
          <w:iCs/>
          <w:lang w:val="en-US"/>
        </w:rPr>
        <w:t>M</w:t>
      </w:r>
      <w:r w:rsidRPr="009150F0">
        <w:rPr>
          <w:rFonts w:ascii="Verdana" w:hAnsi="Verdana"/>
          <w:i/>
          <w:iCs/>
          <w:lang w:val="en-US"/>
        </w:rPr>
        <w:t xml:space="preserve">ethod: </w:t>
      </w:r>
      <w:r w:rsidR="009150F0">
        <w:rPr>
          <w:rFonts w:ascii="Verdana" w:hAnsi="Verdana"/>
          <w:i/>
          <w:iCs/>
          <w:lang w:val="en-US"/>
        </w:rPr>
        <w:t>T</w:t>
      </w:r>
      <w:r w:rsidRPr="009150F0">
        <w:rPr>
          <w:rFonts w:ascii="Verdana" w:hAnsi="Verdana"/>
          <w:i/>
          <w:iCs/>
          <w:lang w:val="en-US"/>
        </w:rPr>
        <w:t xml:space="preserve">owards </w:t>
      </w:r>
      <w:r w:rsidR="009150F0">
        <w:rPr>
          <w:rFonts w:ascii="Verdana" w:hAnsi="Verdana"/>
          <w:i/>
          <w:iCs/>
          <w:lang w:val="en-US"/>
        </w:rPr>
        <w:t>D</w:t>
      </w:r>
      <w:r w:rsidRPr="009150F0">
        <w:rPr>
          <w:rFonts w:ascii="Verdana" w:hAnsi="Verdana"/>
          <w:i/>
          <w:iCs/>
          <w:lang w:val="en-US"/>
        </w:rPr>
        <w:t>eimperialization</w:t>
      </w:r>
      <w:r w:rsidRPr="009150F0">
        <w:rPr>
          <w:rFonts w:ascii="Verdana" w:hAnsi="Verdana"/>
          <w:lang w:val="en-US"/>
        </w:rPr>
        <w:t>. Duke University Press.</w:t>
      </w:r>
    </w:p>
    <w:p w14:paraId="670C6848" w14:textId="6C0AAAF1" w:rsidR="001D4003" w:rsidRPr="00714C49" w:rsidRDefault="001D4003" w:rsidP="009150F0">
      <w:pPr>
        <w:tabs>
          <w:tab w:val="left" w:pos="2088"/>
        </w:tabs>
        <w:spacing w:after="0" w:line="360" w:lineRule="auto"/>
        <w:ind w:left="284" w:hanging="284"/>
        <w:rPr>
          <w:rFonts w:ascii="Verdana" w:hAnsi="Verdana"/>
        </w:rPr>
      </w:pPr>
      <w:r w:rsidRPr="00714C49">
        <w:rPr>
          <w:rFonts w:ascii="Verdana" w:hAnsi="Verdana"/>
          <w:lang w:val="en-US"/>
        </w:rPr>
        <w:t xml:space="preserve">Fanon, F.  </w:t>
      </w:r>
      <w:r w:rsidRPr="009150F0">
        <w:rPr>
          <w:rFonts w:ascii="Verdana" w:hAnsi="Verdana"/>
        </w:rPr>
        <w:t xml:space="preserve">(1963). </w:t>
      </w:r>
      <w:r w:rsidRPr="009150F0">
        <w:rPr>
          <w:rFonts w:ascii="Verdana" w:hAnsi="Verdana"/>
          <w:i/>
          <w:iCs/>
        </w:rPr>
        <w:t>Los condenados de la tierra</w:t>
      </w:r>
      <w:r w:rsidRPr="009150F0">
        <w:rPr>
          <w:rFonts w:ascii="Verdana" w:hAnsi="Verdana"/>
        </w:rPr>
        <w:t xml:space="preserve"> (trad. J. Campos).</w:t>
      </w:r>
      <w:r w:rsidR="009150F0">
        <w:rPr>
          <w:rFonts w:ascii="Verdana" w:hAnsi="Verdana"/>
        </w:rPr>
        <w:t xml:space="preserve"> </w:t>
      </w:r>
      <w:r w:rsidRPr="009150F0">
        <w:rPr>
          <w:rFonts w:ascii="Verdana" w:hAnsi="Verdana"/>
        </w:rPr>
        <w:t xml:space="preserve">México: Fondo de Cultura </w:t>
      </w:r>
      <w:r w:rsidRPr="00714C49">
        <w:rPr>
          <w:rFonts w:ascii="Verdana" w:hAnsi="Verdana"/>
        </w:rPr>
        <w:t>Económica (Original work published 1961).</w:t>
      </w:r>
    </w:p>
    <w:p w14:paraId="62098E50" w14:textId="77777777" w:rsidR="001D4003" w:rsidRPr="009150F0" w:rsidRDefault="001D4003" w:rsidP="009150F0">
      <w:pPr>
        <w:tabs>
          <w:tab w:val="left" w:pos="2088"/>
        </w:tabs>
        <w:spacing w:after="0" w:line="360" w:lineRule="auto"/>
        <w:ind w:left="284" w:hanging="284"/>
        <w:rPr>
          <w:rFonts w:ascii="Verdana" w:hAnsi="Verdana"/>
          <w:lang w:val="en-US"/>
        </w:rPr>
      </w:pPr>
      <w:r w:rsidRPr="009150F0">
        <w:rPr>
          <w:rFonts w:ascii="Verdana" w:hAnsi="Verdana"/>
        </w:rPr>
        <w:t xml:space="preserve">Fanon, F. (2000). </w:t>
      </w:r>
      <w:r w:rsidRPr="009150F0">
        <w:rPr>
          <w:rFonts w:ascii="Verdana" w:hAnsi="Verdana"/>
          <w:i/>
          <w:iCs/>
        </w:rPr>
        <w:t>Sociología de una revolución</w:t>
      </w:r>
      <w:r w:rsidRPr="009150F0">
        <w:rPr>
          <w:rFonts w:ascii="Verdana" w:hAnsi="Verdana"/>
        </w:rPr>
        <w:t xml:space="preserve">. </w:t>
      </w:r>
      <w:r w:rsidRPr="009150F0">
        <w:rPr>
          <w:rFonts w:ascii="Verdana" w:hAnsi="Verdana"/>
          <w:lang w:val="en-US"/>
        </w:rPr>
        <w:t>Tolemia (Original work published 1959).</w:t>
      </w:r>
    </w:p>
    <w:p w14:paraId="23A56C14" w14:textId="77777777" w:rsidR="001D4003" w:rsidRPr="009150F0" w:rsidRDefault="001D4003" w:rsidP="009150F0">
      <w:pPr>
        <w:tabs>
          <w:tab w:val="left" w:pos="2088"/>
        </w:tabs>
        <w:spacing w:after="0" w:line="360" w:lineRule="auto"/>
        <w:ind w:left="284" w:hanging="284"/>
        <w:rPr>
          <w:rFonts w:ascii="Verdana" w:hAnsi="Verdana"/>
        </w:rPr>
      </w:pPr>
      <w:r w:rsidRPr="009150F0">
        <w:rPr>
          <w:rFonts w:ascii="Verdana" w:hAnsi="Verdana"/>
          <w:lang w:val="en-US"/>
        </w:rPr>
        <w:t xml:space="preserve">Mezzadra, S. &amp; Neilson, B. (2017). </w:t>
      </w:r>
      <w:r w:rsidRPr="009150F0">
        <w:rPr>
          <w:rFonts w:ascii="Verdana" w:hAnsi="Verdana"/>
          <w:i/>
          <w:iCs/>
        </w:rPr>
        <w:t>La frontera como método</w:t>
      </w:r>
      <w:r w:rsidRPr="009150F0">
        <w:rPr>
          <w:rFonts w:ascii="Verdana" w:hAnsi="Verdana"/>
        </w:rPr>
        <w:t xml:space="preserve"> (trad. V. Hendel). Traficantes de Sueños (Original work published 2013).</w:t>
      </w:r>
    </w:p>
    <w:p w14:paraId="1C300D04" w14:textId="77777777" w:rsidR="001D4003" w:rsidRPr="009150F0" w:rsidRDefault="001D4003" w:rsidP="009150F0">
      <w:pPr>
        <w:tabs>
          <w:tab w:val="left" w:pos="2088"/>
        </w:tabs>
        <w:spacing w:after="0" w:line="360" w:lineRule="auto"/>
        <w:ind w:left="284" w:hanging="284"/>
        <w:rPr>
          <w:rFonts w:ascii="Verdana" w:hAnsi="Verdana"/>
        </w:rPr>
      </w:pPr>
      <w:r w:rsidRPr="009150F0">
        <w:rPr>
          <w:rFonts w:ascii="Verdana" w:hAnsi="Verdana"/>
        </w:rPr>
        <w:t xml:space="preserve">Parker, I. (2022). Prefacio. In: </w:t>
      </w:r>
      <w:r w:rsidRPr="009150F0">
        <w:rPr>
          <w:rFonts w:ascii="Verdana" w:hAnsi="Verdana"/>
          <w:i/>
          <w:iCs/>
        </w:rPr>
        <w:t>Fanon y Educación. El "niño como método"</w:t>
      </w:r>
      <w:r w:rsidRPr="009150F0">
        <w:rPr>
          <w:rFonts w:ascii="Verdana" w:hAnsi="Verdana"/>
        </w:rPr>
        <w:t xml:space="preserve"> (Roc Filella, Trans.) (p. xi-xii). Ediciones Morata (Original work published 2018).</w:t>
      </w:r>
    </w:p>
    <w:sectPr w:rsidR="001D4003" w:rsidRPr="009150F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8F15E9" w14:textId="77777777" w:rsidR="004A00B8" w:rsidRDefault="004A00B8" w:rsidP="00933E3C">
      <w:pPr>
        <w:spacing w:after="0" w:line="240" w:lineRule="auto"/>
      </w:pPr>
      <w:r>
        <w:separator/>
      </w:r>
    </w:p>
  </w:endnote>
  <w:endnote w:type="continuationSeparator" w:id="0">
    <w:p w14:paraId="46EBF46E" w14:textId="77777777" w:rsidR="004A00B8" w:rsidRDefault="004A00B8" w:rsidP="00933E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467B24" w14:textId="77777777" w:rsidR="004A00B8" w:rsidRDefault="004A00B8" w:rsidP="00933E3C">
      <w:pPr>
        <w:spacing w:after="0" w:line="240" w:lineRule="auto"/>
      </w:pPr>
      <w:r>
        <w:separator/>
      </w:r>
    </w:p>
  </w:footnote>
  <w:footnote w:type="continuationSeparator" w:id="0">
    <w:p w14:paraId="595B0B4F" w14:textId="77777777" w:rsidR="004A00B8" w:rsidRDefault="004A00B8" w:rsidP="00933E3C">
      <w:pPr>
        <w:spacing w:after="0" w:line="240" w:lineRule="auto"/>
      </w:pPr>
      <w:r>
        <w:continuationSeparator/>
      </w:r>
    </w:p>
  </w:footnote>
  <w:footnote w:id="1">
    <w:p w14:paraId="2DA55EA6" w14:textId="784D7F27" w:rsidR="00965ECA" w:rsidRPr="00965ECA" w:rsidRDefault="00965ECA">
      <w:pPr>
        <w:pStyle w:val="FootnoteText"/>
        <w:rPr>
          <w:lang w:val="en-US"/>
        </w:rPr>
      </w:pPr>
      <w:r>
        <w:rPr>
          <w:rStyle w:val="FootnoteReference"/>
        </w:rPr>
        <w:footnoteRef/>
      </w:r>
      <w:r w:rsidRPr="00965ECA">
        <w:rPr>
          <w:lang w:val="en-US"/>
        </w:rPr>
        <w:t xml:space="preserve"> </w:t>
      </w:r>
      <w:r w:rsidRPr="00965ECA">
        <w:rPr>
          <w:rFonts w:ascii="Verdana" w:hAnsi="Verdana"/>
          <w:lang w:val="en-US"/>
        </w:rPr>
        <w:t>Morata is the leading publishing house in the Spanish-speaking world for psychology and education, and the only publisher that has remained active since its founding during the years of the Spanish Republic.</w:t>
      </w:r>
    </w:p>
  </w:footnote>
  <w:footnote w:id="2">
    <w:p w14:paraId="1C6D9038" w14:textId="3BDD46F0" w:rsidR="002B2A2D" w:rsidRPr="003E72C0" w:rsidRDefault="002B2A2D" w:rsidP="003E72C0">
      <w:pPr>
        <w:pStyle w:val="FootnoteText"/>
        <w:rPr>
          <w:rFonts w:ascii="Verdana" w:hAnsi="Verdana"/>
          <w:lang w:val="en-US"/>
        </w:rPr>
      </w:pPr>
      <w:r>
        <w:rPr>
          <w:rStyle w:val="FootnoteReference"/>
        </w:rPr>
        <w:footnoteRef/>
      </w:r>
      <w:r w:rsidRPr="003E72C0">
        <w:rPr>
          <w:lang w:val="en-US"/>
        </w:rPr>
        <w:t xml:space="preserve"> </w:t>
      </w:r>
      <w:r w:rsidR="003E72C0" w:rsidRPr="003E72C0">
        <w:rPr>
          <w:rFonts w:ascii="Verdana" w:hAnsi="Verdana"/>
          <w:lang w:val="en-US"/>
        </w:rPr>
        <w:t xml:space="preserve">In the introduction to the Spanish edition, Burman (2022) highlights that the quotation marks around the term “child as method” are intentional, underscoring the culturally specific challenges inherent in translating this concept into Spanish. </w:t>
      </w:r>
      <w:r w:rsidR="003E72C0">
        <w:rPr>
          <w:rFonts w:ascii="Verdana" w:hAnsi="Verdana"/>
          <w:lang w:val="en-US"/>
        </w:rPr>
        <w:t>T</w:t>
      </w:r>
      <w:r w:rsidR="003E72C0" w:rsidRPr="003E72C0">
        <w:rPr>
          <w:rFonts w:ascii="Verdana" w:hAnsi="Verdana"/>
          <w:lang w:val="en-US"/>
        </w:rPr>
        <w:t xml:space="preserve">he act of gendering the category of "child," </w:t>
      </w:r>
      <w:r w:rsidR="003E72C0">
        <w:rPr>
          <w:rFonts w:ascii="Verdana" w:hAnsi="Verdana"/>
          <w:lang w:val="en-US"/>
        </w:rPr>
        <w:t xml:space="preserve">in Spanish </w:t>
      </w:r>
      <w:r w:rsidR="003E72C0" w:rsidRPr="003E72C0">
        <w:rPr>
          <w:rFonts w:ascii="Verdana" w:hAnsi="Verdana"/>
          <w:lang w:val="en-US"/>
        </w:rPr>
        <w:t>as well as individual children, is unavoidable. A</w:t>
      </w:r>
      <w:r w:rsidR="003E72C0">
        <w:rPr>
          <w:rFonts w:ascii="Verdana" w:hAnsi="Verdana"/>
          <w:lang w:val="en-US"/>
        </w:rPr>
        <w:t xml:space="preserve">s </w:t>
      </w:r>
      <w:r w:rsidR="003E72C0" w:rsidRPr="003E72C0">
        <w:rPr>
          <w:rFonts w:ascii="Verdana" w:hAnsi="Verdana"/>
          <w:lang w:val="en-US"/>
        </w:rPr>
        <w:t>Burman (2022, p. xx</w:t>
      </w:r>
      <w:r w:rsidR="003E72C0">
        <w:rPr>
          <w:rFonts w:ascii="Verdana" w:hAnsi="Verdana"/>
          <w:lang w:val="en-US"/>
        </w:rPr>
        <w:t xml:space="preserve"> – original English version</w:t>
      </w:r>
      <w:r w:rsidR="003E72C0" w:rsidRPr="003E72C0">
        <w:rPr>
          <w:rFonts w:ascii="Verdana" w:hAnsi="Verdana"/>
          <w:lang w:val="en-US"/>
        </w:rPr>
        <w:t>) clarifies: “we have attempted to formulate a rendering of the text that attends</w:t>
      </w:r>
      <w:r w:rsidR="003E72C0">
        <w:rPr>
          <w:rFonts w:ascii="Verdana" w:hAnsi="Verdana"/>
          <w:lang w:val="en-US"/>
        </w:rPr>
        <w:t xml:space="preserve"> </w:t>
      </w:r>
      <w:r w:rsidR="003E72C0" w:rsidRPr="003E72C0">
        <w:rPr>
          <w:rFonts w:ascii="Verdana" w:hAnsi="Verdana"/>
          <w:lang w:val="en-US"/>
        </w:rPr>
        <w:t>to and topicalises the distinction between child as abstract category and as concrete specific entity whose gendered specificities (and, crucially, ambiguities) can</w:t>
      </w:r>
      <w:r w:rsidR="003E72C0">
        <w:rPr>
          <w:rFonts w:ascii="Verdana" w:hAnsi="Verdana"/>
          <w:lang w:val="en-US"/>
        </w:rPr>
        <w:t xml:space="preserve"> </w:t>
      </w:r>
      <w:r w:rsidR="003E72C0" w:rsidRPr="003E72C0">
        <w:rPr>
          <w:rFonts w:ascii="Verdana" w:hAnsi="Verdana"/>
          <w:lang w:val="en-US"/>
        </w:rPr>
        <w:t>then be taken up for further analysis and discussion.”</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3D18"/>
    <w:rsid w:val="00026562"/>
    <w:rsid w:val="000349C0"/>
    <w:rsid w:val="00121432"/>
    <w:rsid w:val="00131F1E"/>
    <w:rsid w:val="001579F0"/>
    <w:rsid w:val="0016005B"/>
    <w:rsid w:val="001D4003"/>
    <w:rsid w:val="002453D2"/>
    <w:rsid w:val="002561F1"/>
    <w:rsid w:val="002B2A2D"/>
    <w:rsid w:val="002F50FC"/>
    <w:rsid w:val="00367D3A"/>
    <w:rsid w:val="003945B8"/>
    <w:rsid w:val="00395192"/>
    <w:rsid w:val="0039660F"/>
    <w:rsid w:val="003C3819"/>
    <w:rsid w:val="003E72C0"/>
    <w:rsid w:val="00407CD0"/>
    <w:rsid w:val="00440BAD"/>
    <w:rsid w:val="00445EEE"/>
    <w:rsid w:val="00451855"/>
    <w:rsid w:val="004961BE"/>
    <w:rsid w:val="004A00B8"/>
    <w:rsid w:val="004D5406"/>
    <w:rsid w:val="004D6382"/>
    <w:rsid w:val="005054EA"/>
    <w:rsid w:val="00553D18"/>
    <w:rsid w:val="00714C49"/>
    <w:rsid w:val="00730EDE"/>
    <w:rsid w:val="00765042"/>
    <w:rsid w:val="00770580"/>
    <w:rsid w:val="00800BA4"/>
    <w:rsid w:val="00813680"/>
    <w:rsid w:val="00824F9B"/>
    <w:rsid w:val="009150F0"/>
    <w:rsid w:val="00920900"/>
    <w:rsid w:val="00933E3C"/>
    <w:rsid w:val="00965ECA"/>
    <w:rsid w:val="00983398"/>
    <w:rsid w:val="009A788A"/>
    <w:rsid w:val="009B0288"/>
    <w:rsid w:val="009F5F56"/>
    <w:rsid w:val="00A17F09"/>
    <w:rsid w:val="00A27E4F"/>
    <w:rsid w:val="00AA47C3"/>
    <w:rsid w:val="00AB0FA6"/>
    <w:rsid w:val="00AE708F"/>
    <w:rsid w:val="00B36854"/>
    <w:rsid w:val="00BC2970"/>
    <w:rsid w:val="00C54A5F"/>
    <w:rsid w:val="00C55BB2"/>
    <w:rsid w:val="00C77E9D"/>
    <w:rsid w:val="00CF4567"/>
    <w:rsid w:val="00D448F5"/>
    <w:rsid w:val="00E03BB6"/>
    <w:rsid w:val="00E520F0"/>
    <w:rsid w:val="00E5503C"/>
    <w:rsid w:val="00E97CF2"/>
    <w:rsid w:val="00EB738A"/>
    <w:rsid w:val="00EC6741"/>
    <w:rsid w:val="00ED468E"/>
    <w:rsid w:val="00EE399E"/>
    <w:rsid w:val="00F123E6"/>
    <w:rsid w:val="00F758FE"/>
    <w:rsid w:val="00FB43A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75098"/>
  <w15:chartTrackingRefBased/>
  <w15:docId w15:val="{97AEFDF3-4475-479E-ABFC-73A445769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3D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3D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3D1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3D1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3D1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3D1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3D1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3D1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3D1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3D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3D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3D1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3D1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3D1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3D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3D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3D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3D18"/>
    <w:rPr>
      <w:rFonts w:eastAsiaTheme="majorEastAsia" w:cstheme="majorBidi"/>
      <w:color w:val="272727" w:themeColor="text1" w:themeTint="D8"/>
    </w:rPr>
  </w:style>
  <w:style w:type="paragraph" w:styleId="Title">
    <w:name w:val="Title"/>
    <w:basedOn w:val="Normal"/>
    <w:next w:val="Normal"/>
    <w:link w:val="TitleChar"/>
    <w:uiPriority w:val="10"/>
    <w:qFormat/>
    <w:rsid w:val="00553D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3D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3D1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3D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3D18"/>
    <w:pPr>
      <w:spacing w:before="160"/>
      <w:jc w:val="center"/>
    </w:pPr>
    <w:rPr>
      <w:i/>
      <w:iCs/>
      <w:color w:val="404040" w:themeColor="text1" w:themeTint="BF"/>
    </w:rPr>
  </w:style>
  <w:style w:type="character" w:customStyle="1" w:styleId="QuoteChar">
    <w:name w:val="Quote Char"/>
    <w:basedOn w:val="DefaultParagraphFont"/>
    <w:link w:val="Quote"/>
    <w:uiPriority w:val="29"/>
    <w:rsid w:val="00553D18"/>
    <w:rPr>
      <w:i/>
      <w:iCs/>
      <w:color w:val="404040" w:themeColor="text1" w:themeTint="BF"/>
    </w:rPr>
  </w:style>
  <w:style w:type="paragraph" w:styleId="ListParagraph">
    <w:name w:val="List Paragraph"/>
    <w:basedOn w:val="Normal"/>
    <w:uiPriority w:val="34"/>
    <w:qFormat/>
    <w:rsid w:val="00553D18"/>
    <w:pPr>
      <w:ind w:left="720"/>
      <w:contextualSpacing/>
    </w:pPr>
  </w:style>
  <w:style w:type="character" w:styleId="IntenseEmphasis">
    <w:name w:val="Intense Emphasis"/>
    <w:basedOn w:val="DefaultParagraphFont"/>
    <w:uiPriority w:val="21"/>
    <w:qFormat/>
    <w:rsid w:val="00553D18"/>
    <w:rPr>
      <w:i/>
      <w:iCs/>
      <w:color w:val="0F4761" w:themeColor="accent1" w:themeShade="BF"/>
    </w:rPr>
  </w:style>
  <w:style w:type="paragraph" w:styleId="IntenseQuote">
    <w:name w:val="Intense Quote"/>
    <w:basedOn w:val="Normal"/>
    <w:next w:val="Normal"/>
    <w:link w:val="IntenseQuoteChar"/>
    <w:uiPriority w:val="30"/>
    <w:qFormat/>
    <w:rsid w:val="00553D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3D18"/>
    <w:rPr>
      <w:i/>
      <w:iCs/>
      <w:color w:val="0F4761" w:themeColor="accent1" w:themeShade="BF"/>
    </w:rPr>
  </w:style>
  <w:style w:type="character" w:styleId="IntenseReference">
    <w:name w:val="Intense Reference"/>
    <w:basedOn w:val="DefaultParagraphFont"/>
    <w:uiPriority w:val="32"/>
    <w:qFormat/>
    <w:rsid w:val="00553D18"/>
    <w:rPr>
      <w:b/>
      <w:bCs/>
      <w:smallCaps/>
      <w:color w:val="0F4761" w:themeColor="accent1" w:themeShade="BF"/>
      <w:spacing w:val="5"/>
    </w:rPr>
  </w:style>
  <w:style w:type="paragraph" w:styleId="FootnoteText">
    <w:name w:val="footnote text"/>
    <w:basedOn w:val="Normal"/>
    <w:link w:val="FootnoteTextChar"/>
    <w:uiPriority w:val="99"/>
    <w:unhideWhenUsed/>
    <w:rsid w:val="00933E3C"/>
    <w:pPr>
      <w:spacing w:after="0" w:line="240" w:lineRule="auto"/>
    </w:pPr>
    <w:rPr>
      <w:sz w:val="20"/>
      <w:szCs w:val="20"/>
    </w:rPr>
  </w:style>
  <w:style w:type="character" w:customStyle="1" w:styleId="FootnoteTextChar">
    <w:name w:val="Footnote Text Char"/>
    <w:basedOn w:val="DefaultParagraphFont"/>
    <w:link w:val="FootnoteText"/>
    <w:uiPriority w:val="99"/>
    <w:rsid w:val="00933E3C"/>
    <w:rPr>
      <w:sz w:val="20"/>
      <w:szCs w:val="20"/>
    </w:rPr>
  </w:style>
  <w:style w:type="character" w:styleId="FootnoteReference">
    <w:name w:val="footnote reference"/>
    <w:basedOn w:val="DefaultParagraphFont"/>
    <w:uiPriority w:val="99"/>
    <w:semiHidden/>
    <w:unhideWhenUsed/>
    <w:rsid w:val="00933E3C"/>
    <w:rPr>
      <w:vertAlign w:val="superscript"/>
    </w:rPr>
  </w:style>
  <w:style w:type="character" w:styleId="Hyperlink">
    <w:name w:val="Hyperlink"/>
    <w:basedOn w:val="DefaultParagraphFont"/>
    <w:uiPriority w:val="99"/>
    <w:unhideWhenUsed/>
    <w:rsid w:val="00AE708F"/>
    <w:rPr>
      <w:color w:val="467886" w:themeColor="hyperlink"/>
      <w:u w:val="single"/>
    </w:rPr>
  </w:style>
  <w:style w:type="character" w:styleId="UnresolvedMention">
    <w:name w:val="Unresolved Mention"/>
    <w:basedOn w:val="DefaultParagraphFont"/>
    <w:uiPriority w:val="99"/>
    <w:semiHidden/>
    <w:unhideWhenUsed/>
    <w:rsid w:val="00AE708F"/>
    <w:rPr>
      <w:color w:val="605E5C"/>
      <w:shd w:val="clear" w:color="auto" w:fill="E1DFDD"/>
    </w:rPr>
  </w:style>
  <w:style w:type="paragraph" w:styleId="Revision">
    <w:name w:val="Revision"/>
    <w:hidden/>
    <w:uiPriority w:val="99"/>
    <w:semiHidden/>
    <w:rsid w:val="003C3819"/>
    <w:pPr>
      <w:spacing w:after="0" w:line="240" w:lineRule="auto"/>
    </w:pPr>
  </w:style>
  <w:style w:type="character" w:styleId="CommentReference">
    <w:name w:val="annotation reference"/>
    <w:basedOn w:val="DefaultParagraphFont"/>
    <w:uiPriority w:val="99"/>
    <w:semiHidden/>
    <w:unhideWhenUsed/>
    <w:rsid w:val="003C3819"/>
    <w:rPr>
      <w:sz w:val="16"/>
      <w:szCs w:val="16"/>
    </w:rPr>
  </w:style>
  <w:style w:type="paragraph" w:styleId="CommentText">
    <w:name w:val="annotation text"/>
    <w:basedOn w:val="Normal"/>
    <w:link w:val="CommentTextChar"/>
    <w:uiPriority w:val="99"/>
    <w:semiHidden/>
    <w:unhideWhenUsed/>
    <w:rsid w:val="003C3819"/>
    <w:pPr>
      <w:spacing w:line="240" w:lineRule="auto"/>
    </w:pPr>
    <w:rPr>
      <w:sz w:val="20"/>
      <w:szCs w:val="20"/>
    </w:rPr>
  </w:style>
  <w:style w:type="character" w:customStyle="1" w:styleId="CommentTextChar">
    <w:name w:val="Comment Text Char"/>
    <w:basedOn w:val="DefaultParagraphFont"/>
    <w:link w:val="CommentText"/>
    <w:uiPriority w:val="99"/>
    <w:semiHidden/>
    <w:rsid w:val="003C3819"/>
    <w:rPr>
      <w:sz w:val="20"/>
      <w:szCs w:val="20"/>
    </w:rPr>
  </w:style>
  <w:style w:type="paragraph" w:styleId="CommentSubject">
    <w:name w:val="annotation subject"/>
    <w:basedOn w:val="CommentText"/>
    <w:next w:val="CommentText"/>
    <w:link w:val="CommentSubjectChar"/>
    <w:uiPriority w:val="99"/>
    <w:semiHidden/>
    <w:unhideWhenUsed/>
    <w:rsid w:val="003C3819"/>
    <w:rPr>
      <w:b/>
      <w:bCs/>
    </w:rPr>
  </w:style>
  <w:style w:type="character" w:customStyle="1" w:styleId="CommentSubjectChar">
    <w:name w:val="Comment Subject Char"/>
    <w:basedOn w:val="CommentTextChar"/>
    <w:link w:val="CommentSubject"/>
    <w:uiPriority w:val="99"/>
    <w:semiHidden/>
    <w:rsid w:val="003C381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035751">
      <w:bodyDiv w:val="1"/>
      <w:marLeft w:val="0"/>
      <w:marRight w:val="0"/>
      <w:marTop w:val="0"/>
      <w:marBottom w:val="0"/>
      <w:divBdr>
        <w:top w:val="none" w:sz="0" w:space="0" w:color="auto"/>
        <w:left w:val="none" w:sz="0" w:space="0" w:color="auto"/>
        <w:bottom w:val="none" w:sz="0" w:space="0" w:color="auto"/>
        <w:right w:val="none" w:sz="0" w:space="0" w:color="auto"/>
      </w:divBdr>
    </w:div>
    <w:div w:id="1429735813">
      <w:bodyDiv w:val="1"/>
      <w:marLeft w:val="0"/>
      <w:marRight w:val="0"/>
      <w:marTop w:val="0"/>
      <w:marBottom w:val="0"/>
      <w:divBdr>
        <w:top w:val="none" w:sz="0" w:space="0" w:color="auto"/>
        <w:left w:val="none" w:sz="0" w:space="0" w:color="auto"/>
        <w:bottom w:val="none" w:sz="0" w:space="0" w:color="auto"/>
        <w:right w:val="none" w:sz="0" w:space="0" w:color="auto"/>
      </w:divBdr>
    </w:div>
    <w:div w:id="1491410446">
      <w:bodyDiv w:val="1"/>
      <w:marLeft w:val="0"/>
      <w:marRight w:val="0"/>
      <w:marTop w:val="0"/>
      <w:marBottom w:val="0"/>
      <w:divBdr>
        <w:top w:val="none" w:sz="0" w:space="0" w:color="auto"/>
        <w:left w:val="none" w:sz="0" w:space="0" w:color="auto"/>
        <w:bottom w:val="none" w:sz="0" w:space="0" w:color="auto"/>
        <w:right w:val="none" w:sz="0" w:space="0" w:color="auto"/>
      </w:divBdr>
      <w:divsChild>
        <w:div w:id="1313943579">
          <w:marLeft w:val="0"/>
          <w:marRight w:val="0"/>
          <w:marTop w:val="0"/>
          <w:marBottom w:val="0"/>
          <w:divBdr>
            <w:top w:val="none" w:sz="0" w:space="0" w:color="auto"/>
            <w:left w:val="none" w:sz="0" w:space="0" w:color="auto"/>
            <w:bottom w:val="none" w:sz="0" w:space="0" w:color="auto"/>
            <w:right w:val="none" w:sz="0" w:space="0" w:color="auto"/>
          </w:divBdr>
        </w:div>
        <w:div w:id="257494783">
          <w:marLeft w:val="0"/>
          <w:marRight w:val="0"/>
          <w:marTop w:val="0"/>
          <w:marBottom w:val="0"/>
          <w:divBdr>
            <w:top w:val="none" w:sz="0" w:space="0" w:color="auto"/>
            <w:left w:val="none" w:sz="0" w:space="0" w:color="auto"/>
            <w:bottom w:val="none" w:sz="0" w:space="0" w:color="auto"/>
            <w:right w:val="none" w:sz="0" w:space="0" w:color="auto"/>
          </w:divBdr>
        </w:div>
        <w:div w:id="1761832554">
          <w:marLeft w:val="0"/>
          <w:marRight w:val="0"/>
          <w:marTop w:val="0"/>
          <w:marBottom w:val="0"/>
          <w:divBdr>
            <w:top w:val="none" w:sz="0" w:space="0" w:color="auto"/>
            <w:left w:val="none" w:sz="0" w:space="0" w:color="auto"/>
            <w:bottom w:val="none" w:sz="0" w:space="0" w:color="auto"/>
            <w:right w:val="none" w:sz="0" w:space="0" w:color="auto"/>
          </w:divBdr>
        </w:div>
        <w:div w:id="327753415">
          <w:marLeft w:val="0"/>
          <w:marRight w:val="0"/>
          <w:marTop w:val="0"/>
          <w:marBottom w:val="0"/>
          <w:divBdr>
            <w:top w:val="none" w:sz="0" w:space="0" w:color="auto"/>
            <w:left w:val="none" w:sz="0" w:space="0" w:color="auto"/>
            <w:bottom w:val="none" w:sz="0" w:space="0" w:color="auto"/>
            <w:right w:val="none" w:sz="0" w:space="0" w:color="auto"/>
          </w:divBdr>
        </w:div>
        <w:div w:id="1026712710">
          <w:marLeft w:val="0"/>
          <w:marRight w:val="0"/>
          <w:marTop w:val="0"/>
          <w:marBottom w:val="0"/>
          <w:divBdr>
            <w:top w:val="none" w:sz="0" w:space="0" w:color="auto"/>
            <w:left w:val="none" w:sz="0" w:space="0" w:color="auto"/>
            <w:bottom w:val="none" w:sz="0" w:space="0" w:color="auto"/>
            <w:right w:val="none" w:sz="0" w:space="0" w:color="auto"/>
          </w:divBdr>
        </w:div>
        <w:div w:id="279919654">
          <w:marLeft w:val="0"/>
          <w:marRight w:val="0"/>
          <w:marTop w:val="0"/>
          <w:marBottom w:val="0"/>
          <w:divBdr>
            <w:top w:val="none" w:sz="0" w:space="0" w:color="auto"/>
            <w:left w:val="none" w:sz="0" w:space="0" w:color="auto"/>
            <w:bottom w:val="none" w:sz="0" w:space="0" w:color="auto"/>
            <w:right w:val="none" w:sz="0" w:space="0" w:color="auto"/>
          </w:divBdr>
        </w:div>
        <w:div w:id="274797310">
          <w:marLeft w:val="0"/>
          <w:marRight w:val="0"/>
          <w:marTop w:val="0"/>
          <w:marBottom w:val="0"/>
          <w:divBdr>
            <w:top w:val="none" w:sz="0" w:space="0" w:color="auto"/>
            <w:left w:val="none" w:sz="0" w:space="0" w:color="auto"/>
            <w:bottom w:val="none" w:sz="0" w:space="0" w:color="auto"/>
            <w:right w:val="none" w:sz="0" w:space="0" w:color="auto"/>
          </w:divBdr>
        </w:div>
        <w:div w:id="905143178">
          <w:marLeft w:val="0"/>
          <w:marRight w:val="0"/>
          <w:marTop w:val="0"/>
          <w:marBottom w:val="0"/>
          <w:divBdr>
            <w:top w:val="none" w:sz="0" w:space="0" w:color="auto"/>
            <w:left w:val="none" w:sz="0" w:space="0" w:color="auto"/>
            <w:bottom w:val="none" w:sz="0" w:space="0" w:color="auto"/>
            <w:right w:val="none" w:sz="0" w:space="0" w:color="auto"/>
          </w:divBdr>
        </w:div>
        <w:div w:id="1246919954">
          <w:marLeft w:val="0"/>
          <w:marRight w:val="0"/>
          <w:marTop w:val="0"/>
          <w:marBottom w:val="0"/>
          <w:divBdr>
            <w:top w:val="none" w:sz="0" w:space="0" w:color="auto"/>
            <w:left w:val="none" w:sz="0" w:space="0" w:color="auto"/>
            <w:bottom w:val="none" w:sz="0" w:space="0" w:color="auto"/>
            <w:right w:val="none" w:sz="0" w:space="0" w:color="auto"/>
          </w:divBdr>
        </w:div>
        <w:div w:id="973867833">
          <w:marLeft w:val="0"/>
          <w:marRight w:val="0"/>
          <w:marTop w:val="0"/>
          <w:marBottom w:val="0"/>
          <w:divBdr>
            <w:top w:val="none" w:sz="0" w:space="0" w:color="auto"/>
            <w:left w:val="none" w:sz="0" w:space="0" w:color="auto"/>
            <w:bottom w:val="none" w:sz="0" w:space="0" w:color="auto"/>
            <w:right w:val="none" w:sz="0" w:space="0" w:color="auto"/>
          </w:divBdr>
        </w:div>
        <w:div w:id="572395145">
          <w:marLeft w:val="0"/>
          <w:marRight w:val="0"/>
          <w:marTop w:val="0"/>
          <w:marBottom w:val="0"/>
          <w:divBdr>
            <w:top w:val="none" w:sz="0" w:space="0" w:color="auto"/>
            <w:left w:val="none" w:sz="0" w:space="0" w:color="auto"/>
            <w:bottom w:val="none" w:sz="0" w:space="0" w:color="auto"/>
            <w:right w:val="none" w:sz="0" w:space="0" w:color="auto"/>
          </w:divBdr>
        </w:div>
        <w:div w:id="512188274">
          <w:marLeft w:val="0"/>
          <w:marRight w:val="0"/>
          <w:marTop w:val="0"/>
          <w:marBottom w:val="0"/>
          <w:divBdr>
            <w:top w:val="none" w:sz="0" w:space="0" w:color="auto"/>
            <w:left w:val="none" w:sz="0" w:space="0" w:color="auto"/>
            <w:bottom w:val="none" w:sz="0" w:space="0" w:color="auto"/>
            <w:right w:val="none" w:sz="0" w:space="0" w:color="auto"/>
          </w:divBdr>
        </w:div>
        <w:div w:id="1231386429">
          <w:marLeft w:val="0"/>
          <w:marRight w:val="0"/>
          <w:marTop w:val="0"/>
          <w:marBottom w:val="0"/>
          <w:divBdr>
            <w:top w:val="none" w:sz="0" w:space="0" w:color="auto"/>
            <w:left w:val="none" w:sz="0" w:space="0" w:color="auto"/>
            <w:bottom w:val="none" w:sz="0" w:space="0" w:color="auto"/>
            <w:right w:val="none" w:sz="0" w:space="0" w:color="auto"/>
          </w:divBdr>
        </w:div>
        <w:div w:id="2139297832">
          <w:marLeft w:val="0"/>
          <w:marRight w:val="0"/>
          <w:marTop w:val="0"/>
          <w:marBottom w:val="0"/>
          <w:divBdr>
            <w:top w:val="none" w:sz="0" w:space="0" w:color="auto"/>
            <w:left w:val="none" w:sz="0" w:space="0" w:color="auto"/>
            <w:bottom w:val="none" w:sz="0" w:space="0" w:color="auto"/>
            <w:right w:val="none" w:sz="0" w:space="0" w:color="auto"/>
          </w:divBdr>
        </w:div>
        <w:div w:id="898632243">
          <w:marLeft w:val="0"/>
          <w:marRight w:val="0"/>
          <w:marTop w:val="0"/>
          <w:marBottom w:val="0"/>
          <w:divBdr>
            <w:top w:val="none" w:sz="0" w:space="0" w:color="auto"/>
            <w:left w:val="none" w:sz="0" w:space="0" w:color="auto"/>
            <w:bottom w:val="none" w:sz="0" w:space="0" w:color="auto"/>
            <w:right w:val="none" w:sz="0" w:space="0" w:color="auto"/>
          </w:divBdr>
        </w:div>
        <w:div w:id="1646623036">
          <w:marLeft w:val="0"/>
          <w:marRight w:val="0"/>
          <w:marTop w:val="0"/>
          <w:marBottom w:val="0"/>
          <w:divBdr>
            <w:top w:val="none" w:sz="0" w:space="0" w:color="auto"/>
            <w:left w:val="none" w:sz="0" w:space="0" w:color="auto"/>
            <w:bottom w:val="none" w:sz="0" w:space="0" w:color="auto"/>
            <w:right w:val="none" w:sz="0" w:space="0" w:color="auto"/>
          </w:divBdr>
        </w:div>
        <w:div w:id="580221187">
          <w:marLeft w:val="0"/>
          <w:marRight w:val="0"/>
          <w:marTop w:val="0"/>
          <w:marBottom w:val="0"/>
          <w:divBdr>
            <w:top w:val="none" w:sz="0" w:space="0" w:color="auto"/>
            <w:left w:val="none" w:sz="0" w:space="0" w:color="auto"/>
            <w:bottom w:val="none" w:sz="0" w:space="0" w:color="auto"/>
            <w:right w:val="none" w:sz="0" w:space="0" w:color="auto"/>
          </w:divBdr>
        </w:div>
        <w:div w:id="295985485">
          <w:marLeft w:val="0"/>
          <w:marRight w:val="0"/>
          <w:marTop w:val="0"/>
          <w:marBottom w:val="0"/>
          <w:divBdr>
            <w:top w:val="none" w:sz="0" w:space="0" w:color="auto"/>
            <w:left w:val="none" w:sz="0" w:space="0" w:color="auto"/>
            <w:bottom w:val="none" w:sz="0" w:space="0" w:color="auto"/>
            <w:right w:val="none" w:sz="0" w:space="0" w:color="auto"/>
          </w:divBdr>
        </w:div>
        <w:div w:id="1701583498">
          <w:marLeft w:val="0"/>
          <w:marRight w:val="0"/>
          <w:marTop w:val="0"/>
          <w:marBottom w:val="0"/>
          <w:divBdr>
            <w:top w:val="none" w:sz="0" w:space="0" w:color="auto"/>
            <w:left w:val="none" w:sz="0" w:space="0" w:color="auto"/>
            <w:bottom w:val="none" w:sz="0" w:space="0" w:color="auto"/>
            <w:right w:val="none" w:sz="0" w:space="0" w:color="auto"/>
          </w:divBdr>
        </w:div>
        <w:div w:id="810053301">
          <w:marLeft w:val="0"/>
          <w:marRight w:val="0"/>
          <w:marTop w:val="0"/>
          <w:marBottom w:val="0"/>
          <w:divBdr>
            <w:top w:val="none" w:sz="0" w:space="0" w:color="auto"/>
            <w:left w:val="none" w:sz="0" w:space="0" w:color="auto"/>
            <w:bottom w:val="none" w:sz="0" w:space="0" w:color="auto"/>
            <w:right w:val="none" w:sz="0" w:space="0" w:color="auto"/>
          </w:divBdr>
        </w:div>
        <w:div w:id="1200706114">
          <w:marLeft w:val="0"/>
          <w:marRight w:val="0"/>
          <w:marTop w:val="0"/>
          <w:marBottom w:val="0"/>
          <w:divBdr>
            <w:top w:val="none" w:sz="0" w:space="0" w:color="auto"/>
            <w:left w:val="none" w:sz="0" w:space="0" w:color="auto"/>
            <w:bottom w:val="none" w:sz="0" w:space="0" w:color="auto"/>
            <w:right w:val="none" w:sz="0" w:space="0" w:color="auto"/>
          </w:divBdr>
        </w:div>
        <w:div w:id="1633946095">
          <w:marLeft w:val="0"/>
          <w:marRight w:val="0"/>
          <w:marTop w:val="0"/>
          <w:marBottom w:val="0"/>
          <w:divBdr>
            <w:top w:val="none" w:sz="0" w:space="0" w:color="auto"/>
            <w:left w:val="none" w:sz="0" w:space="0" w:color="auto"/>
            <w:bottom w:val="none" w:sz="0" w:space="0" w:color="auto"/>
            <w:right w:val="none" w:sz="0" w:space="0" w:color="auto"/>
          </w:divBdr>
        </w:div>
        <w:div w:id="366684108">
          <w:marLeft w:val="0"/>
          <w:marRight w:val="0"/>
          <w:marTop w:val="0"/>
          <w:marBottom w:val="0"/>
          <w:divBdr>
            <w:top w:val="none" w:sz="0" w:space="0" w:color="auto"/>
            <w:left w:val="none" w:sz="0" w:space="0" w:color="auto"/>
            <w:bottom w:val="none" w:sz="0" w:space="0" w:color="auto"/>
            <w:right w:val="none" w:sz="0" w:space="0" w:color="auto"/>
          </w:divBdr>
        </w:div>
      </w:divsChild>
    </w:div>
    <w:div w:id="1599024378">
      <w:bodyDiv w:val="1"/>
      <w:marLeft w:val="0"/>
      <w:marRight w:val="0"/>
      <w:marTop w:val="0"/>
      <w:marBottom w:val="0"/>
      <w:divBdr>
        <w:top w:val="none" w:sz="0" w:space="0" w:color="auto"/>
        <w:left w:val="none" w:sz="0" w:space="0" w:color="auto"/>
        <w:bottom w:val="none" w:sz="0" w:space="0" w:color="auto"/>
        <w:right w:val="none" w:sz="0" w:space="0" w:color="auto"/>
      </w:divBdr>
    </w:div>
    <w:div w:id="1818066290">
      <w:bodyDiv w:val="1"/>
      <w:marLeft w:val="0"/>
      <w:marRight w:val="0"/>
      <w:marTop w:val="0"/>
      <w:marBottom w:val="0"/>
      <w:divBdr>
        <w:top w:val="none" w:sz="0" w:space="0" w:color="auto"/>
        <w:left w:val="none" w:sz="0" w:space="0" w:color="auto"/>
        <w:bottom w:val="none" w:sz="0" w:space="0" w:color="auto"/>
        <w:right w:val="none" w:sz="0" w:space="0" w:color="auto"/>
      </w:divBdr>
    </w:div>
    <w:div w:id="1973976844">
      <w:bodyDiv w:val="1"/>
      <w:marLeft w:val="0"/>
      <w:marRight w:val="0"/>
      <w:marTop w:val="0"/>
      <w:marBottom w:val="0"/>
      <w:divBdr>
        <w:top w:val="none" w:sz="0" w:space="0" w:color="auto"/>
        <w:left w:val="none" w:sz="0" w:space="0" w:color="auto"/>
        <w:bottom w:val="none" w:sz="0" w:space="0" w:color="auto"/>
        <w:right w:val="none" w:sz="0" w:space="0" w:color="auto"/>
      </w:divBdr>
      <w:divsChild>
        <w:div w:id="446704700">
          <w:marLeft w:val="0"/>
          <w:marRight w:val="0"/>
          <w:marTop w:val="0"/>
          <w:marBottom w:val="0"/>
          <w:divBdr>
            <w:top w:val="none" w:sz="0" w:space="0" w:color="auto"/>
            <w:left w:val="none" w:sz="0" w:space="0" w:color="auto"/>
            <w:bottom w:val="none" w:sz="0" w:space="0" w:color="auto"/>
            <w:right w:val="none" w:sz="0" w:space="0" w:color="auto"/>
          </w:divBdr>
        </w:div>
        <w:div w:id="130710537">
          <w:marLeft w:val="0"/>
          <w:marRight w:val="0"/>
          <w:marTop w:val="0"/>
          <w:marBottom w:val="0"/>
          <w:divBdr>
            <w:top w:val="none" w:sz="0" w:space="0" w:color="auto"/>
            <w:left w:val="none" w:sz="0" w:space="0" w:color="auto"/>
            <w:bottom w:val="none" w:sz="0" w:space="0" w:color="auto"/>
            <w:right w:val="none" w:sz="0" w:space="0" w:color="auto"/>
          </w:divBdr>
        </w:div>
        <w:div w:id="161967843">
          <w:marLeft w:val="0"/>
          <w:marRight w:val="0"/>
          <w:marTop w:val="0"/>
          <w:marBottom w:val="0"/>
          <w:divBdr>
            <w:top w:val="none" w:sz="0" w:space="0" w:color="auto"/>
            <w:left w:val="none" w:sz="0" w:space="0" w:color="auto"/>
            <w:bottom w:val="none" w:sz="0" w:space="0" w:color="auto"/>
            <w:right w:val="none" w:sz="0" w:space="0" w:color="auto"/>
          </w:divBdr>
        </w:div>
        <w:div w:id="340472771">
          <w:marLeft w:val="0"/>
          <w:marRight w:val="0"/>
          <w:marTop w:val="0"/>
          <w:marBottom w:val="0"/>
          <w:divBdr>
            <w:top w:val="none" w:sz="0" w:space="0" w:color="auto"/>
            <w:left w:val="none" w:sz="0" w:space="0" w:color="auto"/>
            <w:bottom w:val="none" w:sz="0" w:space="0" w:color="auto"/>
            <w:right w:val="none" w:sz="0" w:space="0" w:color="auto"/>
          </w:divBdr>
        </w:div>
        <w:div w:id="1151172299">
          <w:marLeft w:val="0"/>
          <w:marRight w:val="0"/>
          <w:marTop w:val="0"/>
          <w:marBottom w:val="0"/>
          <w:divBdr>
            <w:top w:val="none" w:sz="0" w:space="0" w:color="auto"/>
            <w:left w:val="none" w:sz="0" w:space="0" w:color="auto"/>
            <w:bottom w:val="none" w:sz="0" w:space="0" w:color="auto"/>
            <w:right w:val="none" w:sz="0" w:space="0" w:color="auto"/>
          </w:divBdr>
        </w:div>
        <w:div w:id="1454246850">
          <w:marLeft w:val="0"/>
          <w:marRight w:val="0"/>
          <w:marTop w:val="0"/>
          <w:marBottom w:val="0"/>
          <w:divBdr>
            <w:top w:val="none" w:sz="0" w:space="0" w:color="auto"/>
            <w:left w:val="none" w:sz="0" w:space="0" w:color="auto"/>
            <w:bottom w:val="none" w:sz="0" w:space="0" w:color="auto"/>
            <w:right w:val="none" w:sz="0" w:space="0" w:color="auto"/>
          </w:divBdr>
        </w:div>
        <w:div w:id="298272040">
          <w:marLeft w:val="0"/>
          <w:marRight w:val="0"/>
          <w:marTop w:val="0"/>
          <w:marBottom w:val="0"/>
          <w:divBdr>
            <w:top w:val="none" w:sz="0" w:space="0" w:color="auto"/>
            <w:left w:val="none" w:sz="0" w:space="0" w:color="auto"/>
            <w:bottom w:val="none" w:sz="0" w:space="0" w:color="auto"/>
            <w:right w:val="none" w:sz="0" w:space="0" w:color="auto"/>
          </w:divBdr>
        </w:div>
        <w:div w:id="667826970">
          <w:marLeft w:val="0"/>
          <w:marRight w:val="0"/>
          <w:marTop w:val="0"/>
          <w:marBottom w:val="0"/>
          <w:divBdr>
            <w:top w:val="none" w:sz="0" w:space="0" w:color="auto"/>
            <w:left w:val="none" w:sz="0" w:space="0" w:color="auto"/>
            <w:bottom w:val="none" w:sz="0" w:space="0" w:color="auto"/>
            <w:right w:val="none" w:sz="0" w:space="0" w:color="auto"/>
          </w:divBdr>
        </w:div>
        <w:div w:id="1980644264">
          <w:marLeft w:val="0"/>
          <w:marRight w:val="0"/>
          <w:marTop w:val="0"/>
          <w:marBottom w:val="0"/>
          <w:divBdr>
            <w:top w:val="none" w:sz="0" w:space="0" w:color="auto"/>
            <w:left w:val="none" w:sz="0" w:space="0" w:color="auto"/>
            <w:bottom w:val="none" w:sz="0" w:space="0" w:color="auto"/>
            <w:right w:val="none" w:sz="0" w:space="0" w:color="auto"/>
          </w:divBdr>
        </w:div>
        <w:div w:id="874974353">
          <w:marLeft w:val="0"/>
          <w:marRight w:val="0"/>
          <w:marTop w:val="0"/>
          <w:marBottom w:val="0"/>
          <w:divBdr>
            <w:top w:val="none" w:sz="0" w:space="0" w:color="auto"/>
            <w:left w:val="none" w:sz="0" w:space="0" w:color="auto"/>
            <w:bottom w:val="none" w:sz="0" w:space="0" w:color="auto"/>
            <w:right w:val="none" w:sz="0" w:space="0" w:color="auto"/>
          </w:divBdr>
        </w:div>
        <w:div w:id="486214328">
          <w:marLeft w:val="0"/>
          <w:marRight w:val="0"/>
          <w:marTop w:val="0"/>
          <w:marBottom w:val="0"/>
          <w:divBdr>
            <w:top w:val="none" w:sz="0" w:space="0" w:color="auto"/>
            <w:left w:val="none" w:sz="0" w:space="0" w:color="auto"/>
            <w:bottom w:val="none" w:sz="0" w:space="0" w:color="auto"/>
            <w:right w:val="none" w:sz="0" w:space="0" w:color="auto"/>
          </w:divBdr>
        </w:div>
        <w:div w:id="788623287">
          <w:marLeft w:val="0"/>
          <w:marRight w:val="0"/>
          <w:marTop w:val="0"/>
          <w:marBottom w:val="0"/>
          <w:divBdr>
            <w:top w:val="none" w:sz="0" w:space="0" w:color="auto"/>
            <w:left w:val="none" w:sz="0" w:space="0" w:color="auto"/>
            <w:bottom w:val="none" w:sz="0" w:space="0" w:color="auto"/>
            <w:right w:val="none" w:sz="0" w:space="0" w:color="auto"/>
          </w:divBdr>
        </w:div>
        <w:div w:id="1850294176">
          <w:marLeft w:val="0"/>
          <w:marRight w:val="0"/>
          <w:marTop w:val="0"/>
          <w:marBottom w:val="0"/>
          <w:divBdr>
            <w:top w:val="none" w:sz="0" w:space="0" w:color="auto"/>
            <w:left w:val="none" w:sz="0" w:space="0" w:color="auto"/>
            <w:bottom w:val="none" w:sz="0" w:space="0" w:color="auto"/>
            <w:right w:val="none" w:sz="0" w:space="0" w:color="auto"/>
          </w:divBdr>
        </w:div>
        <w:div w:id="166672059">
          <w:marLeft w:val="0"/>
          <w:marRight w:val="0"/>
          <w:marTop w:val="0"/>
          <w:marBottom w:val="0"/>
          <w:divBdr>
            <w:top w:val="none" w:sz="0" w:space="0" w:color="auto"/>
            <w:left w:val="none" w:sz="0" w:space="0" w:color="auto"/>
            <w:bottom w:val="none" w:sz="0" w:space="0" w:color="auto"/>
            <w:right w:val="none" w:sz="0" w:space="0" w:color="auto"/>
          </w:divBdr>
        </w:div>
        <w:div w:id="1040399119">
          <w:marLeft w:val="0"/>
          <w:marRight w:val="0"/>
          <w:marTop w:val="0"/>
          <w:marBottom w:val="0"/>
          <w:divBdr>
            <w:top w:val="none" w:sz="0" w:space="0" w:color="auto"/>
            <w:left w:val="none" w:sz="0" w:space="0" w:color="auto"/>
            <w:bottom w:val="none" w:sz="0" w:space="0" w:color="auto"/>
            <w:right w:val="none" w:sz="0" w:space="0" w:color="auto"/>
          </w:divBdr>
        </w:div>
        <w:div w:id="1480687602">
          <w:marLeft w:val="0"/>
          <w:marRight w:val="0"/>
          <w:marTop w:val="0"/>
          <w:marBottom w:val="0"/>
          <w:divBdr>
            <w:top w:val="none" w:sz="0" w:space="0" w:color="auto"/>
            <w:left w:val="none" w:sz="0" w:space="0" w:color="auto"/>
            <w:bottom w:val="none" w:sz="0" w:space="0" w:color="auto"/>
            <w:right w:val="none" w:sz="0" w:space="0" w:color="auto"/>
          </w:divBdr>
        </w:div>
        <w:div w:id="612979461">
          <w:marLeft w:val="0"/>
          <w:marRight w:val="0"/>
          <w:marTop w:val="0"/>
          <w:marBottom w:val="0"/>
          <w:divBdr>
            <w:top w:val="none" w:sz="0" w:space="0" w:color="auto"/>
            <w:left w:val="none" w:sz="0" w:space="0" w:color="auto"/>
            <w:bottom w:val="none" w:sz="0" w:space="0" w:color="auto"/>
            <w:right w:val="none" w:sz="0" w:space="0" w:color="auto"/>
          </w:divBdr>
        </w:div>
        <w:div w:id="376199838">
          <w:marLeft w:val="0"/>
          <w:marRight w:val="0"/>
          <w:marTop w:val="0"/>
          <w:marBottom w:val="0"/>
          <w:divBdr>
            <w:top w:val="none" w:sz="0" w:space="0" w:color="auto"/>
            <w:left w:val="none" w:sz="0" w:space="0" w:color="auto"/>
            <w:bottom w:val="none" w:sz="0" w:space="0" w:color="auto"/>
            <w:right w:val="none" w:sz="0" w:space="0" w:color="auto"/>
          </w:divBdr>
        </w:div>
        <w:div w:id="2038694047">
          <w:marLeft w:val="0"/>
          <w:marRight w:val="0"/>
          <w:marTop w:val="0"/>
          <w:marBottom w:val="0"/>
          <w:divBdr>
            <w:top w:val="none" w:sz="0" w:space="0" w:color="auto"/>
            <w:left w:val="none" w:sz="0" w:space="0" w:color="auto"/>
            <w:bottom w:val="none" w:sz="0" w:space="0" w:color="auto"/>
            <w:right w:val="none" w:sz="0" w:space="0" w:color="auto"/>
          </w:divBdr>
        </w:div>
        <w:div w:id="1488010788">
          <w:marLeft w:val="0"/>
          <w:marRight w:val="0"/>
          <w:marTop w:val="0"/>
          <w:marBottom w:val="0"/>
          <w:divBdr>
            <w:top w:val="none" w:sz="0" w:space="0" w:color="auto"/>
            <w:left w:val="none" w:sz="0" w:space="0" w:color="auto"/>
            <w:bottom w:val="none" w:sz="0" w:space="0" w:color="auto"/>
            <w:right w:val="none" w:sz="0" w:space="0" w:color="auto"/>
          </w:divBdr>
        </w:div>
        <w:div w:id="115178859">
          <w:marLeft w:val="0"/>
          <w:marRight w:val="0"/>
          <w:marTop w:val="0"/>
          <w:marBottom w:val="0"/>
          <w:divBdr>
            <w:top w:val="none" w:sz="0" w:space="0" w:color="auto"/>
            <w:left w:val="none" w:sz="0" w:space="0" w:color="auto"/>
            <w:bottom w:val="none" w:sz="0" w:space="0" w:color="auto"/>
            <w:right w:val="none" w:sz="0" w:space="0" w:color="auto"/>
          </w:divBdr>
        </w:div>
        <w:div w:id="543181676">
          <w:marLeft w:val="0"/>
          <w:marRight w:val="0"/>
          <w:marTop w:val="0"/>
          <w:marBottom w:val="0"/>
          <w:divBdr>
            <w:top w:val="none" w:sz="0" w:space="0" w:color="auto"/>
            <w:left w:val="none" w:sz="0" w:space="0" w:color="auto"/>
            <w:bottom w:val="none" w:sz="0" w:space="0" w:color="auto"/>
            <w:right w:val="none" w:sz="0" w:space="0" w:color="auto"/>
          </w:divBdr>
        </w:div>
        <w:div w:id="3069355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jgordol@ucm.es"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4D28FC-DAF3-4EB3-9AA9-80ECDA30FA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1494</Words>
  <Characters>8519</Characters>
  <Application>Microsoft Office Word</Application>
  <DocSecurity>0</DocSecurity>
  <Lines>70</Lines>
  <Paragraphs>19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9994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 JUAN GORDO LOPEZ</dc:creator>
  <cp:keywords/>
  <dc:description/>
  <cp:lastModifiedBy>Ian Parker</cp:lastModifiedBy>
  <cp:revision>2</cp:revision>
  <dcterms:created xsi:type="dcterms:W3CDTF">2025-04-11T11:17:00Z</dcterms:created>
  <dcterms:modified xsi:type="dcterms:W3CDTF">2025-04-11T11:17:00Z</dcterms:modified>
</cp:coreProperties>
</file>