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FBD92" w14:textId="1B7F3199" w:rsidR="004E06F5" w:rsidRPr="00CC560C" w:rsidRDefault="008B1B40" w:rsidP="00CC560C">
      <w:pPr>
        <w:pStyle w:val="NormalWeb"/>
        <w:spacing w:before="0" w:beforeAutospacing="0" w:after="0" w:afterAutospacing="0" w:line="360" w:lineRule="auto"/>
        <w:rPr>
          <w:rFonts w:ascii="Verdana" w:hAnsi="Verdana"/>
          <w:b/>
          <w:bCs/>
          <w:sz w:val="28"/>
          <w:szCs w:val="28"/>
        </w:rPr>
      </w:pPr>
      <w:r w:rsidRPr="00CC560C">
        <w:rPr>
          <w:rFonts w:ascii="Verdana" w:hAnsi="Verdana"/>
          <w:b/>
          <w:bCs/>
          <w:sz w:val="28"/>
          <w:szCs w:val="28"/>
        </w:rPr>
        <w:t>Which children – which childhood?</w:t>
      </w:r>
    </w:p>
    <w:p w14:paraId="44046330" w14:textId="77777777" w:rsidR="00CC560C" w:rsidRPr="00CC560C" w:rsidRDefault="00CC560C" w:rsidP="00CC560C">
      <w:pPr>
        <w:pStyle w:val="NormalWeb"/>
        <w:spacing w:before="0" w:beforeAutospacing="0" w:after="0" w:afterAutospacing="0" w:line="360" w:lineRule="auto"/>
        <w:rPr>
          <w:rFonts w:ascii="Verdana" w:hAnsi="Verdana"/>
        </w:rPr>
      </w:pPr>
    </w:p>
    <w:p w14:paraId="6F16B21B" w14:textId="0F0B1AD1" w:rsidR="00CC560C" w:rsidRPr="00CC560C" w:rsidRDefault="00CC560C" w:rsidP="00CC560C">
      <w:pPr>
        <w:pStyle w:val="NormalWeb"/>
        <w:spacing w:before="0" w:beforeAutospacing="0" w:after="0" w:afterAutospacing="0" w:line="360" w:lineRule="auto"/>
        <w:rPr>
          <w:rFonts w:ascii="Verdana" w:hAnsi="Verdana"/>
          <w:u w:val="single"/>
        </w:rPr>
      </w:pPr>
      <w:r w:rsidRPr="00CC560C">
        <w:rPr>
          <w:rFonts w:ascii="Verdana" w:hAnsi="Verdana"/>
          <w:u w:val="single"/>
        </w:rPr>
        <w:t>Artemis Christinaki</w:t>
      </w:r>
    </w:p>
    <w:p w14:paraId="6B6DF454" w14:textId="77777777" w:rsidR="00CC560C" w:rsidRPr="00CC560C" w:rsidRDefault="00CC560C" w:rsidP="00CC560C">
      <w:pPr>
        <w:pStyle w:val="NormalWeb"/>
        <w:spacing w:before="0" w:beforeAutospacing="0" w:after="0" w:afterAutospacing="0" w:line="360" w:lineRule="auto"/>
        <w:jc w:val="right"/>
        <w:rPr>
          <w:rFonts w:ascii="Verdana" w:hAnsi="Verdana"/>
        </w:rPr>
      </w:pPr>
    </w:p>
    <w:p w14:paraId="6E987F73" w14:textId="775E1348" w:rsidR="004E06F5" w:rsidRPr="00CC560C" w:rsidRDefault="004E06F5" w:rsidP="00CC560C">
      <w:pPr>
        <w:pStyle w:val="NormalWeb"/>
        <w:spacing w:before="0" w:beforeAutospacing="0" w:after="0" w:afterAutospacing="0" w:line="360" w:lineRule="auto"/>
        <w:ind w:firstLine="720"/>
        <w:rPr>
          <w:rFonts w:ascii="Verdana" w:hAnsi="Verdana"/>
        </w:rPr>
      </w:pPr>
      <w:r w:rsidRPr="00CC560C">
        <w:rPr>
          <w:rFonts w:ascii="Verdana" w:hAnsi="Verdana"/>
        </w:rPr>
        <w:t>I struggle to create space and produce words and meaning now. Today, March 19th, 2025, marks 18 months of the relentless genocide in Gaza and Palestine by Israel’s terrorist</w:t>
      </w:r>
      <w:r w:rsidR="004C5149" w:rsidRPr="00CC560C">
        <w:rPr>
          <w:rFonts w:ascii="Verdana" w:hAnsi="Verdana"/>
        </w:rPr>
        <w:t xml:space="preserve"> and Zionist</w:t>
      </w:r>
      <w:r w:rsidRPr="00CC560C">
        <w:rPr>
          <w:rFonts w:ascii="Verdana" w:hAnsi="Verdana"/>
        </w:rPr>
        <w:t xml:space="preserve"> state. It is hard to see how anything else matters. Even more so when Israeli settler colonial rule and apartheid chose to disregard a ceasefire agreement and continue the massacre, murder, </w:t>
      </w:r>
      <w:r w:rsidR="005E271C" w:rsidRPr="00CC560C">
        <w:rPr>
          <w:rFonts w:ascii="Verdana" w:hAnsi="Verdana"/>
        </w:rPr>
        <w:t xml:space="preserve">ethnic cleansing </w:t>
      </w:r>
      <w:r w:rsidRPr="00CC560C">
        <w:rPr>
          <w:rFonts w:ascii="Verdana" w:hAnsi="Verdana"/>
        </w:rPr>
        <w:t>and annihilation of Palestinians, adding to the list of their war crimes and the shame brought by 76 years of settler colonial rule and apartheid on the stolen Palestinian land.</w:t>
      </w:r>
    </w:p>
    <w:p w14:paraId="6B5E50E4" w14:textId="77777777" w:rsidR="004E06F5" w:rsidRPr="00CC560C" w:rsidRDefault="004E06F5" w:rsidP="00CC560C">
      <w:pPr>
        <w:pStyle w:val="NormalWeb"/>
        <w:spacing w:before="0" w:beforeAutospacing="0" w:after="0" w:afterAutospacing="0" w:line="360" w:lineRule="auto"/>
        <w:ind w:firstLine="720"/>
        <w:rPr>
          <w:rFonts w:ascii="Verdana" w:hAnsi="Verdana"/>
        </w:rPr>
      </w:pPr>
      <w:r w:rsidRPr="00CC560C">
        <w:rPr>
          <w:rFonts w:ascii="Verdana" w:hAnsi="Verdana"/>
        </w:rPr>
        <w:t>It is estimated that among the 48,700 people murdered within these 18 months, nearly 18,000 were children.</w:t>
      </w:r>
    </w:p>
    <w:p w14:paraId="1C522D3F" w14:textId="7B839C6E" w:rsidR="004E06F5" w:rsidRPr="00CC560C" w:rsidRDefault="008B1B40" w:rsidP="00CC560C">
      <w:pPr>
        <w:pStyle w:val="NormalWeb"/>
        <w:spacing w:before="0" w:beforeAutospacing="0" w:after="0" w:afterAutospacing="0" w:line="360" w:lineRule="auto"/>
        <w:ind w:firstLine="720"/>
        <w:rPr>
          <w:rFonts w:ascii="Verdana" w:hAnsi="Verdana"/>
        </w:rPr>
      </w:pPr>
      <w:r w:rsidRPr="00CC560C">
        <w:rPr>
          <w:rFonts w:ascii="Verdana" w:hAnsi="Verdana"/>
        </w:rPr>
        <w:t>States</w:t>
      </w:r>
      <w:r w:rsidR="004E06F5" w:rsidRPr="00CC560C">
        <w:rPr>
          <w:rFonts w:ascii="Verdana" w:hAnsi="Verdana"/>
        </w:rPr>
        <w:t xml:space="preserve">, </w:t>
      </w:r>
      <w:r w:rsidRPr="00CC560C">
        <w:rPr>
          <w:rFonts w:ascii="Verdana" w:hAnsi="Verdana"/>
        </w:rPr>
        <w:t>imperial</w:t>
      </w:r>
      <w:r w:rsidR="004E06F5" w:rsidRPr="00CC560C">
        <w:rPr>
          <w:rFonts w:ascii="Verdana" w:hAnsi="Verdana"/>
        </w:rPr>
        <w:t xml:space="preserve"> </w:t>
      </w:r>
      <w:r w:rsidRPr="00CC560C">
        <w:rPr>
          <w:rFonts w:ascii="Verdana" w:hAnsi="Verdana"/>
        </w:rPr>
        <w:t>and</w:t>
      </w:r>
      <w:r w:rsidR="004E06F5" w:rsidRPr="00CC560C">
        <w:rPr>
          <w:rFonts w:ascii="Verdana" w:hAnsi="Verdana"/>
        </w:rPr>
        <w:t xml:space="preserve"> c</w:t>
      </w:r>
      <w:r w:rsidRPr="00CC560C">
        <w:rPr>
          <w:rFonts w:ascii="Verdana" w:hAnsi="Verdana"/>
        </w:rPr>
        <w:t>olonial</w:t>
      </w:r>
      <w:r w:rsidR="004E06F5" w:rsidRPr="00CC560C">
        <w:rPr>
          <w:rFonts w:ascii="Verdana" w:hAnsi="Verdana"/>
        </w:rPr>
        <w:t xml:space="preserve"> </w:t>
      </w:r>
      <w:r w:rsidRPr="00CC560C">
        <w:rPr>
          <w:rFonts w:ascii="Verdana" w:hAnsi="Verdana"/>
        </w:rPr>
        <w:t>power</w:t>
      </w:r>
      <w:r w:rsidR="004E06F5" w:rsidRPr="00CC560C">
        <w:rPr>
          <w:rFonts w:ascii="Verdana" w:hAnsi="Verdana"/>
        </w:rPr>
        <w:t xml:space="preserve">s, and </w:t>
      </w:r>
      <w:r w:rsidRPr="00CC560C">
        <w:rPr>
          <w:rFonts w:ascii="Verdana" w:hAnsi="Verdana"/>
        </w:rPr>
        <w:t>humanitarian carceral</w:t>
      </w:r>
      <w:r w:rsidR="004E06F5" w:rsidRPr="00CC560C">
        <w:rPr>
          <w:rFonts w:ascii="Verdana" w:hAnsi="Verdana"/>
        </w:rPr>
        <w:t xml:space="preserve"> </w:t>
      </w:r>
      <w:r w:rsidRPr="00CC560C">
        <w:rPr>
          <w:rFonts w:ascii="Verdana" w:hAnsi="Verdana"/>
        </w:rPr>
        <w:t>organisa</w:t>
      </w:r>
      <w:r w:rsidR="004E06F5" w:rsidRPr="00CC560C">
        <w:rPr>
          <w:rFonts w:ascii="Verdana" w:hAnsi="Verdana"/>
        </w:rPr>
        <w:t xml:space="preserve">tions have repeatedly exploited </w:t>
      </w:r>
      <w:r w:rsidRPr="00CC560C">
        <w:rPr>
          <w:rFonts w:ascii="Verdana" w:hAnsi="Verdana"/>
        </w:rPr>
        <w:t>children,</w:t>
      </w:r>
      <w:r w:rsidR="004E06F5" w:rsidRPr="00CC560C">
        <w:rPr>
          <w:rFonts w:ascii="Verdana" w:hAnsi="Verdana"/>
        </w:rPr>
        <w:t xml:space="preserve"> </w:t>
      </w:r>
      <w:r w:rsidRPr="00CC560C">
        <w:rPr>
          <w:rFonts w:ascii="Verdana" w:hAnsi="Verdana"/>
        </w:rPr>
        <w:t>children's</w:t>
      </w:r>
      <w:r w:rsidR="004E06F5" w:rsidRPr="00CC560C">
        <w:rPr>
          <w:rFonts w:ascii="Verdana" w:hAnsi="Verdana"/>
        </w:rPr>
        <w:t xml:space="preserve"> </w:t>
      </w:r>
      <w:r w:rsidRPr="00CC560C">
        <w:rPr>
          <w:rFonts w:ascii="Verdana" w:hAnsi="Verdana"/>
        </w:rPr>
        <w:t>rights,</w:t>
      </w:r>
      <w:r w:rsidR="004E06F5" w:rsidRPr="00CC560C">
        <w:rPr>
          <w:rFonts w:ascii="Verdana" w:hAnsi="Verdana"/>
        </w:rPr>
        <w:t xml:space="preserve"> </w:t>
      </w:r>
      <w:r w:rsidRPr="00CC560C">
        <w:rPr>
          <w:rFonts w:ascii="Verdana" w:hAnsi="Verdana"/>
        </w:rPr>
        <w:t>interest</w:t>
      </w:r>
      <w:r w:rsidR="004E06F5" w:rsidRPr="00CC560C">
        <w:rPr>
          <w:rFonts w:ascii="Verdana" w:hAnsi="Verdana"/>
        </w:rPr>
        <w:t xml:space="preserve">s, and </w:t>
      </w:r>
      <w:r w:rsidRPr="00CC560C">
        <w:rPr>
          <w:rFonts w:ascii="Verdana" w:hAnsi="Verdana"/>
        </w:rPr>
        <w:t>posi</w:t>
      </w:r>
      <w:r w:rsidR="004E06F5" w:rsidRPr="00CC560C">
        <w:rPr>
          <w:rFonts w:ascii="Verdana" w:hAnsi="Verdana"/>
        </w:rPr>
        <w:t>tions to elicit emotions that often reinforce notions of whiteness and innocence. Whiteness has been used to bolster imperial power, while innocence has been leveraged to capitalise on fantasy and politics, suggesting that any beneficial action for children implies sound policy and responsible citizenship. In the same way, children have also embodied the colonial logic of development and developmental narratives, particularly around futurity.</w:t>
      </w:r>
    </w:p>
    <w:p w14:paraId="179E8B74" w14:textId="2C6BF429" w:rsidR="004E06F5" w:rsidRPr="00CC560C" w:rsidRDefault="008B1B40" w:rsidP="00CC560C">
      <w:pPr>
        <w:pStyle w:val="NormalWeb"/>
        <w:spacing w:before="0" w:beforeAutospacing="0" w:after="0" w:afterAutospacing="0" w:line="360" w:lineRule="auto"/>
        <w:ind w:firstLine="720"/>
        <w:rPr>
          <w:rFonts w:ascii="Verdana" w:hAnsi="Verdana"/>
        </w:rPr>
      </w:pPr>
      <w:r w:rsidRPr="00CC560C">
        <w:rPr>
          <w:rFonts w:ascii="Verdana" w:hAnsi="Verdana"/>
        </w:rPr>
        <w:t>However,</w:t>
      </w:r>
      <w:r w:rsidR="004E06F5" w:rsidRPr="00CC560C">
        <w:rPr>
          <w:rFonts w:ascii="Verdana" w:hAnsi="Verdana"/>
        </w:rPr>
        <w:t xml:space="preserve"> </w:t>
      </w:r>
      <w:r w:rsidRPr="00CC560C">
        <w:rPr>
          <w:rFonts w:ascii="Verdana" w:hAnsi="Verdana"/>
        </w:rPr>
        <w:t>a</w:t>
      </w:r>
      <w:r w:rsidR="004E06F5" w:rsidRPr="00CC560C">
        <w:rPr>
          <w:rFonts w:ascii="Verdana" w:hAnsi="Verdana"/>
        </w:rPr>
        <w:t xml:space="preserve"> central </w:t>
      </w:r>
      <w:r w:rsidRPr="00CC560C">
        <w:rPr>
          <w:rFonts w:ascii="Verdana" w:hAnsi="Verdana"/>
        </w:rPr>
        <w:t>question in</w:t>
      </w:r>
      <w:r w:rsidR="004E06F5" w:rsidRPr="00CC560C">
        <w:rPr>
          <w:rFonts w:ascii="Verdana" w:hAnsi="Verdana"/>
        </w:rPr>
        <w:t xml:space="preserve"> any literature or discussion on children is: </w:t>
      </w:r>
      <w:r w:rsidR="004E06F5" w:rsidRPr="00CC560C">
        <w:rPr>
          <w:rFonts w:ascii="Verdana" w:hAnsi="Verdana"/>
          <w:i/>
          <w:iCs/>
        </w:rPr>
        <w:t>Which children are we talking about?</w:t>
      </w:r>
      <w:r w:rsidR="004E06F5" w:rsidRPr="00CC560C">
        <w:rPr>
          <w:rFonts w:ascii="Verdana" w:hAnsi="Verdana"/>
        </w:rPr>
        <w:t xml:space="preserve"> </w:t>
      </w:r>
      <w:r w:rsidRPr="00CC560C">
        <w:rPr>
          <w:rFonts w:ascii="Verdana" w:hAnsi="Verdana"/>
        </w:rPr>
        <w:t>T</w:t>
      </w:r>
      <w:r w:rsidR="004E06F5" w:rsidRPr="00CC560C">
        <w:rPr>
          <w:rFonts w:ascii="Verdana" w:hAnsi="Verdana"/>
        </w:rPr>
        <w:t>oday, not all children matter or are seen as the same.</w:t>
      </w:r>
    </w:p>
    <w:p w14:paraId="7C330DD0" w14:textId="4DA5CCDD" w:rsidR="00B7113C" w:rsidRPr="00CC560C" w:rsidRDefault="004E06F5" w:rsidP="00CC560C">
      <w:pPr>
        <w:pStyle w:val="NormalWeb"/>
        <w:spacing w:before="0" w:beforeAutospacing="0" w:after="0" w:afterAutospacing="0" w:line="360" w:lineRule="auto"/>
        <w:ind w:firstLine="720"/>
        <w:rPr>
          <w:rFonts w:ascii="Verdana" w:hAnsi="Verdana"/>
        </w:rPr>
      </w:pPr>
      <w:r w:rsidRPr="00CC560C">
        <w:rPr>
          <w:rFonts w:ascii="Verdana" w:hAnsi="Verdana"/>
        </w:rPr>
        <w:t>As Shalhoub-Kevorkian (2019, p.138) captures it: “The politicocultural framing of children as the enemy and thus unworthy of protection has created racially constructed categories of the nonhuman (including the nonchild) that are perpetually assigned a value of difference, which is always liminal and always open to revision.”</w:t>
      </w:r>
    </w:p>
    <w:p w14:paraId="38EB6757" w14:textId="61083698" w:rsidR="004E06F5" w:rsidRPr="00CC560C" w:rsidRDefault="004E06F5" w:rsidP="00CC560C">
      <w:pPr>
        <w:pStyle w:val="NormalWeb"/>
        <w:spacing w:before="0" w:beforeAutospacing="0" w:after="0" w:afterAutospacing="0" w:line="360" w:lineRule="auto"/>
        <w:ind w:firstLine="720"/>
        <w:rPr>
          <w:rFonts w:ascii="Verdana" w:hAnsi="Verdana"/>
        </w:rPr>
      </w:pPr>
      <w:r w:rsidRPr="00CC560C">
        <w:rPr>
          <w:rFonts w:ascii="Verdana" w:hAnsi="Verdana"/>
        </w:rPr>
        <w:lastRenderedPageBreak/>
        <w:t xml:space="preserve">This special issue attempts to open socio-political questions </w:t>
      </w:r>
      <w:r w:rsidR="000D75C0" w:rsidRPr="00CC560C">
        <w:rPr>
          <w:rFonts w:ascii="Verdana" w:hAnsi="Verdana"/>
        </w:rPr>
        <w:t xml:space="preserve">around and </w:t>
      </w:r>
      <w:r w:rsidRPr="00CC560C">
        <w:rPr>
          <w:rFonts w:ascii="Verdana" w:hAnsi="Verdana"/>
        </w:rPr>
        <w:t xml:space="preserve">about children and childhood through the research analytic of </w:t>
      </w:r>
      <w:r w:rsidRPr="00CC560C">
        <w:rPr>
          <w:rStyle w:val="Emphasis"/>
          <w:rFonts w:ascii="Verdana" w:eastAsiaTheme="majorEastAsia" w:hAnsi="Verdana"/>
        </w:rPr>
        <w:t>child as method</w:t>
      </w:r>
      <w:r w:rsidRPr="00CC560C">
        <w:rPr>
          <w:rFonts w:ascii="Verdana" w:hAnsi="Verdana"/>
        </w:rPr>
        <w:t xml:space="preserve"> (Burman, 2019; 2024). It engages with texts and narratives that foreground enlarged questions around the politics of childhood and discuss</w:t>
      </w:r>
      <w:r w:rsidR="00B7113C" w:rsidRPr="00CC560C">
        <w:rPr>
          <w:rFonts w:ascii="Verdana" w:hAnsi="Verdana"/>
        </w:rPr>
        <w:t xml:space="preserve">es </w:t>
      </w:r>
      <w:r w:rsidRPr="00CC560C">
        <w:rPr>
          <w:rFonts w:ascii="Verdana" w:hAnsi="Verdana"/>
        </w:rPr>
        <w:t>the three pillars of Burman’s work: a) how the child is understood as a figure or trope, b) how ‘childhood’ is understood as a social condition or category where different narratives about and for the child are produced and c) how ‘childhood’ is understood as a social condition or category where different narratives about and for the child are produced.</w:t>
      </w:r>
    </w:p>
    <w:p w14:paraId="39E83C8A" w14:textId="308F645B" w:rsidR="004E06F5" w:rsidRPr="00CC560C" w:rsidRDefault="004E06F5" w:rsidP="00CC560C">
      <w:pPr>
        <w:pStyle w:val="NormalWeb"/>
        <w:spacing w:before="0" w:beforeAutospacing="0" w:after="0" w:afterAutospacing="0" w:line="360" w:lineRule="auto"/>
        <w:ind w:firstLine="720"/>
        <w:rPr>
          <w:rFonts w:ascii="Verdana" w:hAnsi="Verdana"/>
        </w:rPr>
      </w:pPr>
      <w:r w:rsidRPr="00CC560C">
        <w:rPr>
          <w:rFonts w:ascii="Verdana" w:hAnsi="Verdana"/>
          <w:b/>
          <w:bCs/>
        </w:rPr>
        <w:t>Mandy Pierlejewski</w:t>
      </w:r>
      <w:r w:rsidRPr="00CC560C">
        <w:rPr>
          <w:rFonts w:ascii="Verdana" w:hAnsi="Verdana"/>
        </w:rPr>
        <w:t xml:space="preserve"> provides a strong introduction to the research analytic of </w:t>
      </w:r>
      <w:r w:rsidRPr="00CC560C">
        <w:rPr>
          <w:rStyle w:val="Emphasis"/>
          <w:rFonts w:ascii="Verdana" w:eastAsiaTheme="majorEastAsia" w:hAnsi="Verdana"/>
          <w:i w:val="0"/>
          <w:iCs w:val="0"/>
        </w:rPr>
        <w:t>child as method</w:t>
      </w:r>
      <w:r w:rsidRPr="00CC560C">
        <w:rPr>
          <w:rFonts w:ascii="Verdana" w:hAnsi="Verdana"/>
        </w:rPr>
        <w:t xml:space="preserve">, expanding it into the concept of </w:t>
      </w:r>
      <w:r w:rsidRPr="00CC560C">
        <w:rPr>
          <w:rStyle w:val="Emphasis"/>
          <w:rFonts w:ascii="Verdana" w:eastAsiaTheme="majorEastAsia" w:hAnsi="Verdana"/>
        </w:rPr>
        <w:t>doppelganger as method</w:t>
      </w:r>
      <w:r w:rsidRPr="00CC560C">
        <w:rPr>
          <w:rFonts w:ascii="Verdana" w:hAnsi="Verdana"/>
        </w:rPr>
        <w:t xml:space="preserve">. In doing so, she navigates power dynamics through a Foucauldian lens within the contexts of education, datafication, and the teacher-student apparatus. </w:t>
      </w:r>
      <w:r w:rsidRPr="00CC560C">
        <w:rPr>
          <w:rFonts w:ascii="Verdana" w:hAnsi="Verdana"/>
          <w:b/>
          <w:bCs/>
        </w:rPr>
        <w:t>Luan Cassal</w:t>
      </w:r>
      <w:r w:rsidRPr="00CC560C">
        <w:rPr>
          <w:rFonts w:ascii="Verdana" w:hAnsi="Verdana"/>
        </w:rPr>
        <w:t xml:space="preserve"> engages with </w:t>
      </w:r>
      <w:r w:rsidRPr="00CC560C">
        <w:rPr>
          <w:rStyle w:val="Emphasis"/>
          <w:rFonts w:ascii="Verdana" w:eastAsiaTheme="majorEastAsia" w:hAnsi="Verdana"/>
          <w:i w:val="0"/>
          <w:iCs w:val="0"/>
        </w:rPr>
        <w:t>child as method</w:t>
      </w:r>
      <w:r w:rsidRPr="00CC560C">
        <w:rPr>
          <w:rFonts w:ascii="Verdana" w:hAnsi="Verdana"/>
          <w:i/>
          <w:iCs/>
        </w:rPr>
        <w:t>'s</w:t>
      </w:r>
      <w:r w:rsidRPr="00CC560C">
        <w:rPr>
          <w:rFonts w:ascii="Verdana" w:hAnsi="Verdana"/>
        </w:rPr>
        <w:t xml:space="preserve"> research analytic, intersecting it with Foucauldian Discourse Analysis and Fanonian readings to explore how the unconscious dimensions of power and the role of colonialism shape discourses of childhood. By focusing on marginalised children, migrants, and gender-nonconforming individuals, Cassal raises crucial questions about recognition in the present moment. </w:t>
      </w:r>
      <w:r w:rsidRPr="00CC560C">
        <w:rPr>
          <w:rStyle w:val="Emphasis"/>
          <w:rFonts w:ascii="Verdana" w:eastAsiaTheme="majorEastAsia" w:hAnsi="Verdana"/>
        </w:rPr>
        <w:t>Child as Method to Read Lacan</w:t>
      </w:r>
      <w:r w:rsidRPr="00CC560C">
        <w:rPr>
          <w:rFonts w:ascii="Verdana" w:hAnsi="Verdana"/>
        </w:rPr>
        <w:t xml:space="preserve">, by </w:t>
      </w:r>
      <w:r w:rsidRPr="00CC560C">
        <w:rPr>
          <w:rFonts w:ascii="Verdana" w:hAnsi="Verdana"/>
          <w:b/>
          <w:bCs/>
        </w:rPr>
        <w:t>Ilana Katz</w:t>
      </w:r>
      <w:r w:rsidRPr="00CC560C">
        <w:rPr>
          <w:rFonts w:ascii="Verdana" w:hAnsi="Verdana"/>
        </w:rPr>
        <w:t>, exposes the developmental narrative that psychoanalytic theory imposes on children. By reading Lacan’s theory and seminars through the question “Who is the child in Lacan’s text?”, Katz situates childhood as a process of subject formation rather than a developmental stage, highlighting child and childhood as geopolitical strategies and the political consequences when a developmental perspective infiltrates, in her words, psychoanalysis.</w:t>
      </w:r>
    </w:p>
    <w:p w14:paraId="4D6B7FE6" w14:textId="6AC39E1C" w:rsidR="000D75C0" w:rsidRPr="00CC560C" w:rsidRDefault="000D75C0" w:rsidP="00CC560C">
      <w:pPr>
        <w:pStyle w:val="NormalWeb"/>
        <w:spacing w:before="0" w:beforeAutospacing="0" w:after="0" w:afterAutospacing="0" w:line="360" w:lineRule="auto"/>
        <w:ind w:firstLine="720"/>
        <w:rPr>
          <w:rFonts w:ascii="Verdana" w:hAnsi="Verdana"/>
        </w:rPr>
      </w:pPr>
      <w:r w:rsidRPr="00CC560C">
        <w:rPr>
          <w:rFonts w:ascii="Verdana" w:hAnsi="Verdana"/>
        </w:rPr>
        <w:t>Questions surrounding colonialism and imperialism are entangled with discussions of childhood, highlighting how the matrix of child, children, and childhood is whitewashed to reinforce forms of domination within the current aggressive capitalist system.</w:t>
      </w:r>
    </w:p>
    <w:p w14:paraId="1D673BFF" w14:textId="4C30EE0B" w:rsidR="004E06F5" w:rsidRPr="00CC560C" w:rsidRDefault="004E06F5" w:rsidP="00CC560C">
      <w:pPr>
        <w:pStyle w:val="NormalWeb"/>
        <w:spacing w:before="0" w:beforeAutospacing="0" w:after="0" w:afterAutospacing="0" w:line="360" w:lineRule="auto"/>
        <w:ind w:firstLine="720"/>
        <w:rPr>
          <w:rFonts w:ascii="Verdana" w:hAnsi="Verdana"/>
        </w:rPr>
      </w:pPr>
      <w:r w:rsidRPr="00CC560C">
        <w:rPr>
          <w:rFonts w:ascii="Verdana" w:hAnsi="Verdana"/>
          <w:b/>
          <w:bCs/>
        </w:rPr>
        <w:lastRenderedPageBreak/>
        <w:t>Brenda Herbert’s</w:t>
      </w:r>
      <w:r w:rsidRPr="00CC560C">
        <w:rPr>
          <w:rFonts w:ascii="Verdana" w:hAnsi="Verdana"/>
        </w:rPr>
        <w:t xml:space="preserve"> sharp analysis of the social work literature on domestic abuse, mobilised by child as method, reveals how tropes of childhood uphold patriarchal and colonial structures. By exposing how these tropes dehumanise children and create epistemic injustices, Herbert urges us to move beyond trauma and abuse, calling for a shift in the literature. This shift requires not only the decolonisation of the oppressive social order that silences children’s experiences within services but also an end to the epistemic social work apparatus that treats children as unable to produce meaning from and for their own lives. Next, </w:t>
      </w:r>
      <w:r w:rsidRPr="00CC560C">
        <w:rPr>
          <w:rFonts w:ascii="Verdana" w:hAnsi="Verdana"/>
          <w:b/>
          <w:bCs/>
        </w:rPr>
        <w:t>Berenice Bento</w:t>
      </w:r>
      <w:r w:rsidRPr="00CC560C">
        <w:rPr>
          <w:rFonts w:ascii="Verdana" w:hAnsi="Verdana"/>
        </w:rPr>
        <w:t xml:space="preserve"> guides us through 1871</w:t>
      </w:r>
      <w:r w:rsidR="008B1B40" w:rsidRPr="00CC560C">
        <w:rPr>
          <w:rFonts w:ascii="Verdana" w:hAnsi="Verdana"/>
        </w:rPr>
        <w:t xml:space="preserve">. </w:t>
      </w:r>
      <w:r w:rsidRPr="00CC560C">
        <w:rPr>
          <w:rFonts w:ascii="Verdana" w:hAnsi="Verdana"/>
        </w:rPr>
        <w:t xml:space="preserve">Her paper examines the impact of Brazil’s 1871 Free Womb Law, which granted freedom to children born to enslaved mothers but left their parents in slavery. Exploring how the law, in effect, denied black children the right to belong to a family and condemned them to orphanhood from birth, Bento analyses the Annals of the Brazilian Parliament and brings to the fore the experience of black childhood before and after the approval of the Free Womb Law. </w:t>
      </w:r>
    </w:p>
    <w:p w14:paraId="1C757284" w14:textId="37C7CC74" w:rsidR="004E06F5" w:rsidRPr="00CC560C" w:rsidRDefault="004E06F5" w:rsidP="00CC560C">
      <w:pPr>
        <w:spacing w:line="360" w:lineRule="auto"/>
        <w:ind w:firstLine="720"/>
        <w:rPr>
          <w:rFonts w:ascii="Verdana" w:hAnsi="Verdana" w:cs="Times New Roman"/>
        </w:rPr>
      </w:pPr>
      <w:r w:rsidRPr="00CC560C">
        <w:rPr>
          <w:rFonts w:ascii="Verdana" w:hAnsi="Verdana" w:cs="Times New Roman"/>
        </w:rPr>
        <w:t>Staying within the Brazilian context but skipping centuries,</w:t>
      </w:r>
      <w:r w:rsidRPr="00CC560C">
        <w:rPr>
          <w:rStyle w:val="normaltextrun"/>
          <w:rFonts w:ascii="Verdana" w:hAnsi="Verdana" w:cs="Times New Roman"/>
          <w:lang w:val="en-US"/>
        </w:rPr>
        <w:t xml:space="preserve"> </w:t>
      </w:r>
      <w:r w:rsidRPr="00CC560C">
        <w:rPr>
          <w:rStyle w:val="normaltextrun"/>
          <w:rFonts w:ascii="Verdana" w:hAnsi="Verdana" w:cs="Times New Roman"/>
          <w:b/>
          <w:bCs/>
          <w:lang w:val="en-US"/>
        </w:rPr>
        <w:t xml:space="preserve">Romulo Lopes da Silva </w:t>
      </w:r>
      <w:r w:rsidRPr="00CC560C">
        <w:rPr>
          <w:rStyle w:val="normaltextrun"/>
          <w:rFonts w:ascii="Verdana" w:hAnsi="Verdana" w:cs="Times New Roman"/>
          <w:lang w:val="en-US"/>
        </w:rPr>
        <w:t>and</w:t>
      </w:r>
      <w:r w:rsidRPr="00CC560C">
        <w:rPr>
          <w:rStyle w:val="normaltextrun"/>
          <w:rFonts w:ascii="Verdana" w:hAnsi="Verdana" w:cs="Times New Roman"/>
          <w:b/>
          <w:bCs/>
          <w:lang w:val="en-US"/>
        </w:rPr>
        <w:t xml:space="preserve"> Leonardo Lemos de Souza</w:t>
      </w:r>
      <w:r w:rsidRPr="00CC560C">
        <w:rPr>
          <w:rStyle w:val="normaltextrun"/>
          <w:rFonts w:ascii="Verdana" w:hAnsi="Verdana" w:cs="Times New Roman"/>
          <w:lang w:val="en-US"/>
        </w:rPr>
        <w:t xml:space="preserve"> explore </w:t>
      </w:r>
      <w:r w:rsidRPr="00CC560C">
        <w:rPr>
          <w:rFonts w:ascii="Verdana" w:hAnsi="Verdana" w:cs="Times New Roman"/>
        </w:rPr>
        <w:t>the childhood narratives of black gay Brazilian men, focusing on the intersection of black masculinities, dissident sexualities, and racialisation practices. Among their theoretical compass, authors mobilise child as method</w:t>
      </w:r>
      <w:r w:rsidR="00CA21ED" w:rsidRPr="00CC560C">
        <w:rPr>
          <w:rFonts w:ascii="Verdana" w:hAnsi="Verdana" w:cs="Times New Roman"/>
        </w:rPr>
        <w:t xml:space="preserve"> </w:t>
      </w:r>
      <w:r w:rsidRPr="00CC560C">
        <w:rPr>
          <w:rFonts w:ascii="Verdana" w:hAnsi="Verdana" w:cs="Times New Roman"/>
        </w:rPr>
        <w:t>to analyse the emergence of racism and homophobia in childhood</w:t>
      </w:r>
      <w:r w:rsidR="00CA21ED" w:rsidRPr="00CC560C">
        <w:rPr>
          <w:rFonts w:ascii="Verdana" w:hAnsi="Verdana" w:cs="Times New Roman"/>
        </w:rPr>
        <w:t>,</w:t>
      </w:r>
      <w:r w:rsidRPr="00CC560C">
        <w:rPr>
          <w:rFonts w:ascii="Verdana" w:hAnsi="Verdana" w:cs="Times New Roman"/>
        </w:rPr>
        <w:t xml:space="preserve"> especially around family, school, and community dynamics. Discussing the implications of these narratives for psychological practices and policies which aim to protect black children's rights in Brazil, they highlight how race, gender, and sexuality policies affect the protection and recognition of black children’s agency.</w:t>
      </w:r>
      <w:r w:rsidRPr="00CC560C">
        <w:rPr>
          <w:rStyle w:val="normaltextrun"/>
          <w:rFonts w:ascii="Verdana" w:hAnsi="Verdana" w:cs="Times New Roman"/>
          <w:lang w:val="en-US"/>
        </w:rPr>
        <w:t xml:space="preserve"> Similarly, </w:t>
      </w:r>
      <w:r w:rsidRPr="00CC560C">
        <w:rPr>
          <w:rStyle w:val="normaltextrun"/>
          <w:rFonts w:ascii="Verdana" w:hAnsi="Verdana" w:cs="Times New Roman"/>
          <w:b/>
          <w:bCs/>
          <w:lang w:val="en-US"/>
        </w:rPr>
        <w:t xml:space="preserve">Amana Rocha Mattos, Rayane Ribas Martuchi </w:t>
      </w:r>
      <w:r w:rsidRPr="00CC560C">
        <w:rPr>
          <w:rStyle w:val="normaltextrun"/>
          <w:rFonts w:ascii="Verdana" w:hAnsi="Verdana" w:cs="Times New Roman"/>
          <w:lang w:val="en-US"/>
        </w:rPr>
        <w:t>and</w:t>
      </w:r>
      <w:r w:rsidRPr="00CC560C">
        <w:rPr>
          <w:rStyle w:val="normaltextrun"/>
          <w:rFonts w:ascii="Verdana" w:hAnsi="Verdana" w:cs="Times New Roman"/>
          <w:b/>
          <w:bCs/>
          <w:lang w:val="en-US"/>
        </w:rPr>
        <w:t xml:space="preserve"> Andy da Rocha Luz</w:t>
      </w:r>
      <w:r w:rsidRPr="00CC560C">
        <w:rPr>
          <w:rFonts w:ascii="Verdana" w:hAnsi="Verdana" w:cs="Times New Roman"/>
        </w:rPr>
        <w:t xml:space="preserve"> explore the processes of subjectivation in children attending public primary schools in Rio de Janeiro, Brazil. While discussing educational challenges in the post-pandemic era and within an intersectional approach, </w:t>
      </w:r>
      <w:r w:rsidR="00CC560C">
        <w:rPr>
          <w:rFonts w:ascii="Verdana" w:hAnsi="Verdana" w:cs="Times New Roman"/>
        </w:rPr>
        <w:t xml:space="preserve">the </w:t>
      </w:r>
      <w:r w:rsidRPr="00CC560C">
        <w:rPr>
          <w:rFonts w:ascii="Verdana" w:hAnsi="Verdana" w:cs="Times New Roman"/>
        </w:rPr>
        <w:t xml:space="preserve">authors argue that the ‘as method’ opened crucial encounters and challenges in doing </w:t>
      </w:r>
      <w:r w:rsidRPr="00CC560C">
        <w:rPr>
          <w:rFonts w:ascii="Verdana" w:hAnsi="Verdana" w:cs="Times New Roman"/>
        </w:rPr>
        <w:lastRenderedPageBreak/>
        <w:t>research. The authors remind us how easily the ‘as method’ can be turned into a mechanics of knowledge production, and they call attention to keeping the contradictions that arise in research alive.</w:t>
      </w:r>
    </w:p>
    <w:p w14:paraId="1C4C2CCD" w14:textId="05B7F55A" w:rsidR="008D322C" w:rsidRPr="00CC560C" w:rsidRDefault="004E06F5" w:rsidP="00CC560C">
      <w:pPr>
        <w:spacing w:line="360" w:lineRule="auto"/>
        <w:ind w:firstLine="720"/>
        <w:rPr>
          <w:rFonts w:ascii="Verdana" w:hAnsi="Verdana" w:cs="Times New Roman"/>
        </w:rPr>
      </w:pPr>
      <w:r w:rsidRPr="00CC560C">
        <w:rPr>
          <w:rFonts w:ascii="Verdana" w:hAnsi="Verdana" w:cs="Times New Roman"/>
        </w:rPr>
        <w:t xml:space="preserve">Before the issue concludes, </w:t>
      </w:r>
      <w:r w:rsidRPr="00CC560C">
        <w:rPr>
          <w:rFonts w:ascii="Verdana" w:hAnsi="Verdana" w:cs="Times New Roman"/>
          <w:b/>
          <w:bCs/>
        </w:rPr>
        <w:t xml:space="preserve">Zsuzsa Millei </w:t>
      </w:r>
      <w:r w:rsidRPr="00CC560C">
        <w:rPr>
          <w:rFonts w:ascii="Verdana" w:hAnsi="Verdana" w:cs="Times New Roman"/>
        </w:rPr>
        <w:t>and</w:t>
      </w:r>
      <w:r w:rsidRPr="00CC560C">
        <w:rPr>
          <w:rFonts w:ascii="Verdana" w:hAnsi="Verdana" w:cs="Times New Roman"/>
          <w:b/>
          <w:bCs/>
        </w:rPr>
        <w:t xml:space="preserve"> Erica Burman</w:t>
      </w:r>
      <w:r w:rsidRPr="00CC560C">
        <w:rPr>
          <w:rFonts w:ascii="Verdana" w:hAnsi="Verdana" w:cs="Times New Roman"/>
        </w:rPr>
        <w:t xml:space="preserve"> analyse Cold War childhood memories through the child as method</w:t>
      </w:r>
      <w:r w:rsidR="00CA21ED" w:rsidRPr="00CC560C">
        <w:rPr>
          <w:rFonts w:ascii="Verdana" w:hAnsi="Verdana" w:cs="Times New Roman"/>
        </w:rPr>
        <w:t xml:space="preserve"> </w:t>
      </w:r>
      <w:r w:rsidRPr="00CC560C">
        <w:rPr>
          <w:rFonts w:ascii="Verdana" w:hAnsi="Verdana" w:cs="Times New Roman"/>
        </w:rPr>
        <w:t xml:space="preserve">lens. They examine how the child symbolised the future in socialist ideologies, while Western portrayals saw children as manipulated by ideology. Drawing on the Cold War Childhoods project, the paper explores how personal childhood memories shared by academics reflect geopolitical and ideological aspects, offering insights into historical generational experiences. </w:t>
      </w:r>
      <w:r w:rsidR="00CA21ED" w:rsidRPr="00CC560C">
        <w:rPr>
          <w:rFonts w:ascii="Verdana" w:hAnsi="Verdana" w:cs="Times New Roman"/>
        </w:rPr>
        <w:t>T</w:t>
      </w:r>
      <w:r w:rsidRPr="00CC560C">
        <w:rPr>
          <w:rFonts w:ascii="Verdana" w:hAnsi="Verdana" w:cs="Times New Roman"/>
        </w:rPr>
        <w:t xml:space="preserve">he issue closes with </w:t>
      </w:r>
      <w:r w:rsidRPr="00CC560C">
        <w:rPr>
          <w:rFonts w:ascii="Verdana" w:hAnsi="Verdana" w:cs="Times New Roman"/>
          <w:b/>
          <w:bCs/>
        </w:rPr>
        <w:t>Angel Juan Gordo Lopez’s</w:t>
      </w:r>
      <w:r w:rsidRPr="00CC560C">
        <w:rPr>
          <w:rFonts w:ascii="Verdana" w:hAnsi="Verdana" w:cs="Times New Roman"/>
        </w:rPr>
        <w:t xml:space="preserve"> book review on ‘</w:t>
      </w:r>
      <w:r w:rsidRPr="00CC560C">
        <w:rPr>
          <w:rFonts w:ascii="Verdana" w:hAnsi="Verdana" w:cs="Times New Roman"/>
          <w:lang w:val="es-ES"/>
        </w:rPr>
        <w:t xml:space="preserve">Fanon y educación. El “niño como método”’. </w:t>
      </w:r>
    </w:p>
    <w:p w14:paraId="710B853F" w14:textId="7A547725" w:rsidR="00FB7E3D" w:rsidRPr="00CC560C" w:rsidRDefault="00FB7E3D" w:rsidP="00CC560C">
      <w:pPr>
        <w:spacing w:line="360" w:lineRule="auto"/>
        <w:ind w:firstLine="720"/>
        <w:rPr>
          <w:rFonts w:ascii="Verdana" w:hAnsi="Verdana" w:cs="Times New Roman"/>
        </w:rPr>
      </w:pPr>
      <w:r w:rsidRPr="00CC560C">
        <w:rPr>
          <w:rFonts w:ascii="Verdana" w:hAnsi="Verdana" w:cs="Times New Roman"/>
        </w:rPr>
        <w:t>Before you move on to the pages and articles that sparked your interest, we urge you to approach the 'as method' with s</w:t>
      </w:r>
      <w:r w:rsidR="004E0BEA" w:rsidRPr="00CC560C">
        <w:rPr>
          <w:rFonts w:ascii="Verdana" w:hAnsi="Verdana" w:cs="Times New Roman"/>
        </w:rPr>
        <w:t>c</w:t>
      </w:r>
      <w:r w:rsidRPr="00CC560C">
        <w:rPr>
          <w:rFonts w:ascii="Verdana" w:hAnsi="Verdana" w:cs="Times New Roman"/>
        </w:rPr>
        <w:t>epticism</w:t>
      </w:r>
      <w:r w:rsidR="004E0BEA" w:rsidRPr="00CC560C">
        <w:rPr>
          <w:rFonts w:ascii="Verdana" w:hAnsi="Verdana" w:cs="Times New Roman"/>
        </w:rPr>
        <w:t>, if not suspicion</w:t>
      </w:r>
      <w:r w:rsidRPr="00CC560C">
        <w:rPr>
          <w:rFonts w:ascii="Verdana" w:hAnsi="Verdana" w:cs="Times New Roman"/>
        </w:rPr>
        <w:t>. Although Burman created this formulation and analytic framework to open questions regarding the political specificities and dynamics of children and childhood, it's worth considering how readily we embrace this analy</w:t>
      </w:r>
      <w:r w:rsidR="004E0BEA" w:rsidRPr="00CC560C">
        <w:rPr>
          <w:rFonts w:ascii="Verdana" w:hAnsi="Verdana" w:cs="Times New Roman"/>
        </w:rPr>
        <w:t>sis. Within an academic environment that smells of naphthalene from the conservatism and liberal values that hold, hug and sustain every discipline, it is a question of whether the ‘as method’ is used as an attempt to break free or sustain the corpse of academia.</w:t>
      </w:r>
      <w:r w:rsidR="00A67D21" w:rsidRPr="00CC560C">
        <w:rPr>
          <w:rFonts w:ascii="Verdana" w:hAnsi="Verdana" w:cs="Times New Roman"/>
        </w:rPr>
        <w:t xml:space="preserve"> What does the ‘as method’ do in the following pages?</w:t>
      </w:r>
    </w:p>
    <w:p w14:paraId="6E3812E0" w14:textId="77777777" w:rsidR="00F651FB" w:rsidRPr="00CC560C" w:rsidRDefault="00F651FB" w:rsidP="00CC560C">
      <w:pPr>
        <w:spacing w:line="360" w:lineRule="auto"/>
        <w:rPr>
          <w:rFonts w:ascii="Verdana" w:hAnsi="Verdana" w:cs="Times New Roman"/>
        </w:rPr>
      </w:pPr>
    </w:p>
    <w:p w14:paraId="4273880C" w14:textId="1E4C1317" w:rsidR="00F651FB" w:rsidRPr="00CC560C" w:rsidRDefault="00F651FB" w:rsidP="00CC560C">
      <w:pPr>
        <w:spacing w:line="360" w:lineRule="auto"/>
        <w:rPr>
          <w:rFonts w:ascii="Verdana" w:hAnsi="Verdana" w:cs="Times New Roman"/>
          <w:b/>
          <w:bCs/>
        </w:rPr>
      </w:pPr>
      <w:r w:rsidRPr="00CC560C">
        <w:rPr>
          <w:rFonts w:ascii="Verdana" w:hAnsi="Verdana" w:cs="Times New Roman"/>
          <w:b/>
          <w:bCs/>
        </w:rPr>
        <w:t>References</w:t>
      </w:r>
    </w:p>
    <w:p w14:paraId="4F8FD4DA" w14:textId="77777777" w:rsidR="00CC560C" w:rsidRPr="00CC560C" w:rsidRDefault="00CC560C" w:rsidP="00CC560C">
      <w:pPr>
        <w:spacing w:line="360" w:lineRule="auto"/>
        <w:rPr>
          <w:rFonts w:ascii="Verdana" w:hAnsi="Verdana" w:cs="Times New Roman"/>
          <w:b/>
          <w:bCs/>
        </w:rPr>
      </w:pPr>
    </w:p>
    <w:p w14:paraId="64759D3A" w14:textId="5BE594DF" w:rsidR="00F651FB" w:rsidRPr="00CC560C" w:rsidRDefault="00F651FB" w:rsidP="00CC560C">
      <w:pPr>
        <w:spacing w:line="360" w:lineRule="auto"/>
        <w:ind w:left="720" w:hanging="720"/>
        <w:rPr>
          <w:rFonts w:ascii="Verdana" w:hAnsi="Verdana" w:cs="Times New Roman"/>
        </w:rPr>
      </w:pPr>
      <w:r w:rsidRPr="00CC560C">
        <w:rPr>
          <w:rFonts w:ascii="Verdana" w:hAnsi="Verdana" w:cs="Times New Roman"/>
        </w:rPr>
        <w:t>Burman, E. (2024). Child as Method: Othering, Interiority and Materialism. Routledge.</w:t>
      </w:r>
    </w:p>
    <w:p w14:paraId="0F1D9629" w14:textId="118D1B83" w:rsidR="00F651FB" w:rsidRPr="00CC560C" w:rsidRDefault="00F651FB" w:rsidP="00CC560C">
      <w:pPr>
        <w:spacing w:line="360" w:lineRule="auto"/>
        <w:ind w:left="720" w:hanging="720"/>
        <w:rPr>
          <w:rFonts w:ascii="Verdana" w:hAnsi="Verdana" w:cs="Times New Roman"/>
        </w:rPr>
      </w:pPr>
      <w:r w:rsidRPr="00CC560C">
        <w:rPr>
          <w:rFonts w:ascii="Verdana" w:hAnsi="Verdana" w:cs="Times New Roman"/>
        </w:rPr>
        <w:t xml:space="preserve">Burman, E. (2019). </w:t>
      </w:r>
      <w:r w:rsidRPr="00CC560C">
        <w:rPr>
          <w:rFonts w:ascii="Verdana" w:hAnsi="Verdana" w:cs="Times New Roman"/>
          <w:i/>
          <w:iCs/>
        </w:rPr>
        <w:t>Fanon, Education, Action: Child as Method</w:t>
      </w:r>
      <w:r w:rsidRPr="00CC560C">
        <w:rPr>
          <w:rFonts w:ascii="Verdana" w:hAnsi="Verdana" w:cs="Times New Roman"/>
        </w:rPr>
        <w:t>. Routledge.</w:t>
      </w:r>
    </w:p>
    <w:p w14:paraId="769194B0" w14:textId="5C3C70D0" w:rsidR="00F651FB" w:rsidRPr="00CC560C" w:rsidRDefault="00F651FB" w:rsidP="00CC560C">
      <w:pPr>
        <w:spacing w:line="360" w:lineRule="auto"/>
        <w:ind w:left="720" w:hanging="720"/>
        <w:rPr>
          <w:rFonts w:ascii="Verdana" w:hAnsi="Verdana" w:cs="Times New Roman"/>
        </w:rPr>
      </w:pPr>
      <w:r w:rsidRPr="00CC560C">
        <w:rPr>
          <w:rFonts w:ascii="Verdana" w:hAnsi="Verdana" w:cs="Times New Roman"/>
        </w:rPr>
        <w:t>Shalhoub-Kevorkian, N. (2019). Incarcerated Childhood and the Politics of Unchilding. Cambridge University Press.</w:t>
      </w:r>
    </w:p>
    <w:p w14:paraId="49D240CC" w14:textId="77777777" w:rsidR="00F651FB" w:rsidRPr="00CC560C" w:rsidRDefault="00F651FB" w:rsidP="00CC560C">
      <w:pPr>
        <w:spacing w:line="360" w:lineRule="auto"/>
        <w:ind w:left="720" w:hanging="720"/>
        <w:rPr>
          <w:rFonts w:ascii="Verdana" w:hAnsi="Verdana" w:cs="Times New Roman"/>
        </w:rPr>
      </w:pPr>
    </w:p>
    <w:sectPr w:rsidR="00F651FB" w:rsidRPr="00CC56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6F5"/>
    <w:rsid w:val="00031FE6"/>
    <w:rsid w:val="000A3B57"/>
    <w:rsid w:val="000D75C0"/>
    <w:rsid w:val="0015084D"/>
    <w:rsid w:val="003B0EBC"/>
    <w:rsid w:val="003D338C"/>
    <w:rsid w:val="004038A5"/>
    <w:rsid w:val="0041404D"/>
    <w:rsid w:val="004C5149"/>
    <w:rsid w:val="004E06F5"/>
    <w:rsid w:val="004E0BEA"/>
    <w:rsid w:val="0056392A"/>
    <w:rsid w:val="005E271C"/>
    <w:rsid w:val="006674AD"/>
    <w:rsid w:val="006724F1"/>
    <w:rsid w:val="008B1B40"/>
    <w:rsid w:val="008D322C"/>
    <w:rsid w:val="009C35FF"/>
    <w:rsid w:val="00A67D21"/>
    <w:rsid w:val="00AB0FA6"/>
    <w:rsid w:val="00B7113C"/>
    <w:rsid w:val="00C05057"/>
    <w:rsid w:val="00C40617"/>
    <w:rsid w:val="00CA21ED"/>
    <w:rsid w:val="00CC560C"/>
    <w:rsid w:val="00F651FB"/>
    <w:rsid w:val="00F9560A"/>
    <w:rsid w:val="00FB7E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865E24"/>
  <w15:chartTrackingRefBased/>
  <w15:docId w15:val="{9446726A-A518-1A4F-9BFD-4EA4C5735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6F5"/>
  </w:style>
  <w:style w:type="paragraph" w:styleId="Heading1">
    <w:name w:val="heading 1"/>
    <w:basedOn w:val="Normal"/>
    <w:next w:val="Normal"/>
    <w:link w:val="Heading1Char"/>
    <w:uiPriority w:val="9"/>
    <w:qFormat/>
    <w:rsid w:val="004E06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06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06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06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06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06F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06F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06F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06F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06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06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06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06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06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06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06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06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06F5"/>
    <w:rPr>
      <w:rFonts w:eastAsiaTheme="majorEastAsia" w:cstheme="majorBidi"/>
      <w:color w:val="272727" w:themeColor="text1" w:themeTint="D8"/>
    </w:rPr>
  </w:style>
  <w:style w:type="paragraph" w:styleId="Title">
    <w:name w:val="Title"/>
    <w:basedOn w:val="Normal"/>
    <w:next w:val="Normal"/>
    <w:link w:val="TitleChar"/>
    <w:uiPriority w:val="10"/>
    <w:qFormat/>
    <w:rsid w:val="004E06F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06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06F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06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06F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E06F5"/>
    <w:rPr>
      <w:i/>
      <w:iCs/>
      <w:color w:val="404040" w:themeColor="text1" w:themeTint="BF"/>
    </w:rPr>
  </w:style>
  <w:style w:type="paragraph" w:styleId="ListParagraph">
    <w:name w:val="List Paragraph"/>
    <w:basedOn w:val="Normal"/>
    <w:uiPriority w:val="34"/>
    <w:qFormat/>
    <w:rsid w:val="004E06F5"/>
    <w:pPr>
      <w:ind w:left="720"/>
      <w:contextualSpacing/>
    </w:pPr>
  </w:style>
  <w:style w:type="character" w:styleId="IntenseEmphasis">
    <w:name w:val="Intense Emphasis"/>
    <w:basedOn w:val="DefaultParagraphFont"/>
    <w:uiPriority w:val="21"/>
    <w:qFormat/>
    <w:rsid w:val="004E06F5"/>
    <w:rPr>
      <w:i/>
      <w:iCs/>
      <w:color w:val="0F4761" w:themeColor="accent1" w:themeShade="BF"/>
    </w:rPr>
  </w:style>
  <w:style w:type="paragraph" w:styleId="IntenseQuote">
    <w:name w:val="Intense Quote"/>
    <w:basedOn w:val="Normal"/>
    <w:next w:val="Normal"/>
    <w:link w:val="IntenseQuoteChar"/>
    <w:uiPriority w:val="30"/>
    <w:qFormat/>
    <w:rsid w:val="004E06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06F5"/>
    <w:rPr>
      <w:i/>
      <w:iCs/>
      <w:color w:val="0F4761" w:themeColor="accent1" w:themeShade="BF"/>
    </w:rPr>
  </w:style>
  <w:style w:type="character" w:styleId="IntenseReference">
    <w:name w:val="Intense Reference"/>
    <w:basedOn w:val="DefaultParagraphFont"/>
    <w:uiPriority w:val="32"/>
    <w:qFormat/>
    <w:rsid w:val="004E06F5"/>
    <w:rPr>
      <w:b/>
      <w:bCs/>
      <w:smallCaps/>
      <w:color w:val="0F4761" w:themeColor="accent1" w:themeShade="BF"/>
      <w:spacing w:val="5"/>
    </w:rPr>
  </w:style>
  <w:style w:type="character" w:customStyle="1" w:styleId="normaltextrun">
    <w:name w:val="normaltextrun"/>
    <w:basedOn w:val="DefaultParagraphFont"/>
    <w:rsid w:val="004E06F5"/>
  </w:style>
  <w:style w:type="paragraph" w:styleId="NormalWeb">
    <w:name w:val="Normal (Web)"/>
    <w:basedOn w:val="Normal"/>
    <w:uiPriority w:val="99"/>
    <w:semiHidden/>
    <w:unhideWhenUsed/>
    <w:rsid w:val="004E06F5"/>
    <w:pPr>
      <w:spacing w:before="100" w:beforeAutospacing="1" w:after="100" w:afterAutospacing="1"/>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4E06F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1183</Words>
  <Characters>6744</Characters>
  <Application>Microsoft Office Word</Application>
  <DocSecurity>0</DocSecurity>
  <Lines>56</Lines>
  <Paragraphs>15</Paragraphs>
  <ScaleCrop>false</ScaleCrop>
  <Company/>
  <LinksUpToDate>false</LinksUpToDate>
  <CharactersWithSpaces>7912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Artemis Christinaki</dc:creator>
  <cp:keywords/>
  <dc:description/>
  <cp:lastModifiedBy>Ian Parker</cp:lastModifiedBy>
  <cp:revision>2</cp:revision>
  <dcterms:created xsi:type="dcterms:W3CDTF">2025-04-11T11:12:00Z</dcterms:created>
  <dcterms:modified xsi:type="dcterms:W3CDTF">2025-04-11T11:12:00Z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0709d2623ea4dfc66c066aae1ca15684779a15ec59ad4c57d20ed673a94559ce</vt:lpwstr>
  </property>
</Properties>
</file>